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24" w:rsidRPr="00B03DF9" w:rsidRDefault="00737D24" w:rsidP="00737D24">
      <w:pPr>
        <w:pStyle w:val="a3"/>
        <w:shd w:val="clear" w:color="auto" w:fill="FFFFFF"/>
        <w:spacing w:before="0" w:beforeAutospacing="0" w:after="225" w:afterAutospacing="0"/>
        <w:textAlignment w:val="baseline"/>
        <w:rPr>
          <w:sz w:val="28"/>
          <w:szCs w:val="28"/>
        </w:rPr>
      </w:pPr>
    </w:p>
    <w:tbl>
      <w:tblPr>
        <w:tblW w:w="0" w:type="auto"/>
        <w:tblLook w:val="00A0" w:firstRow="1" w:lastRow="0" w:firstColumn="1" w:lastColumn="0" w:noHBand="0" w:noVBand="0"/>
      </w:tblPr>
      <w:tblGrid>
        <w:gridCol w:w="4714"/>
        <w:gridCol w:w="4715"/>
      </w:tblGrid>
      <w:tr w:rsidR="00737D24" w:rsidRPr="00B03DF9" w:rsidTr="00C020C8">
        <w:tc>
          <w:tcPr>
            <w:tcW w:w="4714" w:type="dxa"/>
          </w:tcPr>
          <w:p w:rsidR="00737D24" w:rsidRPr="00B03DF9" w:rsidRDefault="00737D24" w:rsidP="00C020C8">
            <w:pPr>
              <w:pStyle w:val="a3"/>
              <w:spacing w:before="0" w:beforeAutospacing="0" w:after="0" w:afterAutospacing="0"/>
              <w:contextualSpacing/>
              <w:jc w:val="both"/>
              <w:textAlignment w:val="baseline"/>
              <w:rPr>
                <w:sz w:val="28"/>
                <w:szCs w:val="28"/>
              </w:rPr>
            </w:pPr>
          </w:p>
        </w:tc>
        <w:tc>
          <w:tcPr>
            <w:tcW w:w="4715" w:type="dxa"/>
          </w:tcPr>
          <w:p w:rsidR="00737D24" w:rsidRPr="00B03DF9" w:rsidRDefault="00737D24" w:rsidP="00C020C8">
            <w:pPr>
              <w:pStyle w:val="a3"/>
              <w:spacing w:before="0" w:beforeAutospacing="0" w:after="0" w:afterAutospacing="0"/>
              <w:contextualSpacing/>
              <w:textAlignment w:val="baseline"/>
              <w:rPr>
                <w:sz w:val="28"/>
                <w:szCs w:val="28"/>
              </w:rPr>
            </w:pPr>
            <w:r w:rsidRPr="00B03DF9">
              <w:rPr>
                <w:sz w:val="28"/>
                <w:szCs w:val="28"/>
              </w:rPr>
              <w:t>ЗАТВЕРДЖЕНО</w:t>
            </w:r>
          </w:p>
          <w:p w:rsidR="00737D24" w:rsidRPr="00B03DF9" w:rsidRDefault="00737D24" w:rsidP="00C020C8">
            <w:pPr>
              <w:pStyle w:val="a3"/>
              <w:spacing w:before="0" w:beforeAutospacing="0" w:after="0" w:afterAutospacing="0"/>
              <w:contextualSpacing/>
              <w:textAlignment w:val="baseline"/>
              <w:rPr>
                <w:sz w:val="28"/>
                <w:szCs w:val="28"/>
              </w:rPr>
            </w:pPr>
            <w:r w:rsidRPr="00B03DF9">
              <w:rPr>
                <w:sz w:val="28"/>
                <w:szCs w:val="28"/>
              </w:rPr>
              <w:t xml:space="preserve">рішенням п’ятої сесії восьмого скликання </w:t>
            </w:r>
          </w:p>
          <w:p w:rsidR="00737D24" w:rsidRPr="00B03DF9" w:rsidRDefault="00737D24" w:rsidP="00C020C8">
            <w:pPr>
              <w:pStyle w:val="a3"/>
              <w:spacing w:before="0" w:beforeAutospacing="0" w:after="0" w:afterAutospacing="0"/>
              <w:contextualSpacing/>
              <w:textAlignment w:val="baseline"/>
              <w:rPr>
                <w:sz w:val="28"/>
                <w:szCs w:val="28"/>
              </w:rPr>
            </w:pPr>
            <w:proofErr w:type="spellStart"/>
            <w:r w:rsidRPr="00B03DF9">
              <w:rPr>
                <w:sz w:val="28"/>
                <w:szCs w:val="28"/>
              </w:rPr>
              <w:t>Первозванівської</w:t>
            </w:r>
            <w:proofErr w:type="spellEnd"/>
            <w:r w:rsidRPr="00B03DF9">
              <w:rPr>
                <w:sz w:val="28"/>
                <w:szCs w:val="28"/>
              </w:rPr>
              <w:t xml:space="preserve"> сільської ради</w:t>
            </w:r>
          </w:p>
          <w:p w:rsidR="00737D24" w:rsidRPr="00B03DF9" w:rsidRDefault="00737D24" w:rsidP="00C020C8">
            <w:pPr>
              <w:pStyle w:val="a3"/>
              <w:spacing w:before="0" w:beforeAutospacing="0" w:after="0" w:afterAutospacing="0"/>
              <w:contextualSpacing/>
              <w:textAlignment w:val="baseline"/>
              <w:rPr>
                <w:sz w:val="28"/>
                <w:szCs w:val="28"/>
              </w:rPr>
            </w:pPr>
            <w:r w:rsidRPr="00B03DF9">
              <w:rPr>
                <w:sz w:val="28"/>
                <w:szCs w:val="28"/>
              </w:rPr>
              <w:t>від 27.04.2018 року № 212</w:t>
            </w:r>
          </w:p>
        </w:tc>
      </w:tr>
    </w:tbl>
    <w:p w:rsidR="00737D24" w:rsidRPr="00B03DF9" w:rsidRDefault="00737D24" w:rsidP="00737D24">
      <w:pPr>
        <w:spacing w:line="240" w:lineRule="atLeast"/>
        <w:rPr>
          <w:sz w:val="28"/>
          <w:szCs w:val="28"/>
          <w:lang w:val="uk-UA" w:eastAsia="uk-UA"/>
        </w:rPr>
      </w:pPr>
    </w:p>
    <w:p w:rsidR="00737D24" w:rsidRPr="00B03DF9" w:rsidRDefault="00737D24" w:rsidP="00737D24">
      <w:pPr>
        <w:spacing w:line="240" w:lineRule="atLeast"/>
        <w:jc w:val="center"/>
        <w:rPr>
          <w:sz w:val="28"/>
          <w:szCs w:val="28"/>
          <w:lang w:val="uk-UA" w:eastAsia="uk-UA"/>
        </w:rPr>
      </w:pPr>
      <w:r w:rsidRPr="00B03DF9">
        <w:rPr>
          <w:b/>
          <w:bCs/>
          <w:sz w:val="28"/>
          <w:szCs w:val="28"/>
          <w:lang w:val="uk-UA" w:eastAsia="uk-UA"/>
        </w:rPr>
        <w:t>ПРОГРАМА</w:t>
      </w:r>
    </w:p>
    <w:p w:rsidR="00737D24" w:rsidRPr="00B03DF9" w:rsidRDefault="00737D24" w:rsidP="00737D24">
      <w:pPr>
        <w:pStyle w:val="a3"/>
        <w:shd w:val="clear" w:color="auto" w:fill="FFFFFF"/>
        <w:spacing w:before="0" w:beforeAutospacing="0" w:after="0" w:afterAutospacing="0"/>
        <w:jc w:val="center"/>
        <w:textAlignment w:val="baseline"/>
        <w:rPr>
          <w:rStyle w:val="a4"/>
          <w:b/>
          <w:bCs/>
          <w:i w:val="0"/>
          <w:sz w:val="28"/>
          <w:szCs w:val="28"/>
          <w:bdr w:val="none" w:sz="0" w:space="0" w:color="auto" w:frame="1"/>
        </w:rPr>
      </w:pPr>
      <w:r w:rsidRPr="00B03DF9">
        <w:rPr>
          <w:b/>
          <w:bCs/>
          <w:sz w:val="28"/>
          <w:szCs w:val="28"/>
        </w:rPr>
        <w:t xml:space="preserve">Поводження з </w:t>
      </w:r>
      <w:r w:rsidRPr="00B03DF9">
        <w:rPr>
          <w:rStyle w:val="a4"/>
          <w:b/>
          <w:bCs/>
          <w:i w:val="0"/>
          <w:sz w:val="28"/>
          <w:szCs w:val="28"/>
          <w:bdr w:val="none" w:sz="0" w:space="0" w:color="auto" w:frame="1"/>
        </w:rPr>
        <w:t xml:space="preserve">твердими побутовими відходами на території </w:t>
      </w:r>
      <w:proofErr w:type="spellStart"/>
      <w:r w:rsidRPr="00B03DF9">
        <w:rPr>
          <w:rStyle w:val="a4"/>
          <w:b/>
          <w:bCs/>
          <w:i w:val="0"/>
          <w:sz w:val="28"/>
          <w:szCs w:val="28"/>
          <w:bdr w:val="none" w:sz="0" w:space="0" w:color="auto" w:frame="1"/>
        </w:rPr>
        <w:t>Первозванівської</w:t>
      </w:r>
      <w:proofErr w:type="spellEnd"/>
      <w:r w:rsidRPr="00B03DF9">
        <w:rPr>
          <w:rStyle w:val="a4"/>
          <w:b/>
          <w:bCs/>
          <w:i w:val="0"/>
          <w:sz w:val="28"/>
          <w:szCs w:val="28"/>
          <w:bdr w:val="none" w:sz="0" w:space="0" w:color="auto" w:frame="1"/>
        </w:rPr>
        <w:t xml:space="preserve"> сільської ради на 2018-2019 роки</w:t>
      </w:r>
    </w:p>
    <w:p w:rsidR="00737D24" w:rsidRPr="00B03DF9" w:rsidRDefault="00737D24" w:rsidP="00737D24">
      <w:pPr>
        <w:spacing w:line="240" w:lineRule="atLeast"/>
        <w:jc w:val="center"/>
        <w:rPr>
          <w:sz w:val="28"/>
          <w:szCs w:val="28"/>
          <w:lang w:val="uk-UA" w:eastAsia="uk-UA"/>
        </w:rPr>
      </w:pP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 xml:space="preserve">Ця програма визначає правові, організаційні та економічні засади діяльності, пов’язаної із запобіганням або зменшенням обсягів утворення твердих побутових відходів, їх збиранням, перевезенням, обробленням, утилізацією, знешкодженням та відверненням негативного впливу відходів на навколишнє природне середовище та здоров’я людини на території </w:t>
      </w:r>
      <w:proofErr w:type="spellStart"/>
      <w:r w:rsidRPr="00B03DF9">
        <w:rPr>
          <w:sz w:val="28"/>
          <w:szCs w:val="28"/>
          <w:lang w:val="uk-UA" w:eastAsia="uk-UA"/>
        </w:rPr>
        <w:t>Первозванівської</w:t>
      </w:r>
      <w:proofErr w:type="spellEnd"/>
      <w:r w:rsidRPr="00B03DF9">
        <w:rPr>
          <w:sz w:val="28"/>
          <w:szCs w:val="28"/>
          <w:lang w:val="uk-UA" w:eastAsia="uk-UA"/>
        </w:rPr>
        <w:t xml:space="preserve"> сільської ради.</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Програму розроблено на виконання Постанови Кабінету Міністрів України від 4 березня 2004 року № 265 «Про затвердження Програми поводження з твердими побутовими відходами».</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Нормативно-правовою базою для розроблення Програми є Закони України: «Про місцеве самоврядування в Україні», «Про відходи», «Про благоустрій населених пунктів», інші чинні нормативно-правові акти.</w:t>
      </w:r>
    </w:p>
    <w:p w:rsidR="00737D24" w:rsidRPr="00B03DF9" w:rsidRDefault="00737D24" w:rsidP="00737D24">
      <w:pPr>
        <w:spacing w:line="240" w:lineRule="atLeast"/>
        <w:jc w:val="center"/>
        <w:rPr>
          <w:sz w:val="28"/>
          <w:szCs w:val="28"/>
          <w:lang w:val="uk-UA" w:eastAsia="uk-UA"/>
        </w:rPr>
      </w:pPr>
      <w:r w:rsidRPr="00B03DF9">
        <w:rPr>
          <w:b/>
          <w:bCs/>
          <w:i/>
          <w:iCs/>
          <w:sz w:val="28"/>
          <w:szCs w:val="28"/>
          <w:lang w:val="uk-UA" w:eastAsia="uk-UA"/>
        </w:rPr>
        <w:t>Розділ І</w:t>
      </w:r>
    </w:p>
    <w:p w:rsidR="00737D24" w:rsidRPr="00B03DF9" w:rsidRDefault="00737D24" w:rsidP="00737D24">
      <w:pPr>
        <w:spacing w:line="240" w:lineRule="atLeast"/>
        <w:jc w:val="center"/>
        <w:rPr>
          <w:sz w:val="28"/>
          <w:szCs w:val="28"/>
          <w:lang w:val="uk-UA" w:eastAsia="uk-UA"/>
        </w:rPr>
      </w:pPr>
      <w:r w:rsidRPr="00B03DF9">
        <w:rPr>
          <w:b/>
          <w:bCs/>
          <w:sz w:val="28"/>
          <w:szCs w:val="28"/>
          <w:lang w:val="uk-UA" w:eastAsia="uk-UA"/>
        </w:rPr>
        <w:t>Вступна частина.</w:t>
      </w:r>
    </w:p>
    <w:p w:rsidR="00737D24" w:rsidRPr="00B03DF9" w:rsidRDefault="00737D24" w:rsidP="00737D24">
      <w:pPr>
        <w:spacing w:line="240" w:lineRule="atLeast"/>
        <w:jc w:val="center"/>
        <w:rPr>
          <w:sz w:val="28"/>
          <w:szCs w:val="28"/>
          <w:lang w:val="uk-UA" w:eastAsia="uk-UA"/>
        </w:rPr>
      </w:pPr>
      <w:r w:rsidRPr="00B03DF9">
        <w:rPr>
          <w:b/>
          <w:bCs/>
          <w:sz w:val="28"/>
          <w:szCs w:val="28"/>
          <w:lang w:val="uk-UA" w:eastAsia="uk-UA"/>
        </w:rPr>
        <w:t>1. Загальні положення Програми</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 xml:space="preserve">Програму поводження з твердими побутовими відходами на території </w:t>
      </w:r>
      <w:proofErr w:type="spellStart"/>
      <w:r w:rsidRPr="00B03DF9">
        <w:rPr>
          <w:sz w:val="28"/>
          <w:szCs w:val="28"/>
          <w:lang w:val="uk-UA" w:eastAsia="uk-UA"/>
        </w:rPr>
        <w:t>Первозванівської</w:t>
      </w:r>
      <w:proofErr w:type="spellEnd"/>
      <w:r w:rsidRPr="00B03DF9">
        <w:rPr>
          <w:sz w:val="28"/>
          <w:szCs w:val="28"/>
          <w:lang w:val="uk-UA" w:eastAsia="uk-UA"/>
        </w:rPr>
        <w:t xml:space="preserve"> сільської ради на 2018-2019 роки розроблено для розв'язання проблем, пов’язаних з охороною довкілля та здоров’ям населення, однією з причин яких є низький рівень використання відходів. Ситуація, яка склалася в Україні з питання розміщення місць концентрації побутових відходів, їх збору, сортування, утилізації та подальшого використання як вторинної сировини, підтверджує існування глобальної проблеми, яка впливає на екологічний стан населеного пункту </w:t>
      </w:r>
      <w:proofErr w:type="spellStart"/>
      <w:r w:rsidRPr="00B03DF9">
        <w:rPr>
          <w:sz w:val="28"/>
          <w:szCs w:val="28"/>
          <w:lang w:val="uk-UA" w:eastAsia="uk-UA"/>
        </w:rPr>
        <w:t>Первозванівської</w:t>
      </w:r>
      <w:proofErr w:type="spellEnd"/>
      <w:r w:rsidRPr="00B03DF9">
        <w:rPr>
          <w:sz w:val="28"/>
          <w:szCs w:val="28"/>
          <w:lang w:val="uk-UA" w:eastAsia="uk-UA"/>
        </w:rPr>
        <w:t xml:space="preserve"> сільської ради.</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Питання поводження з твердими побутовими відходами є однією з ключових проблем сільської ради.</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 xml:space="preserve">Вивезення ТПВ проводиться жителями населених пунктів самостійно, методом </w:t>
      </w:r>
      <w:proofErr w:type="spellStart"/>
      <w:r w:rsidRPr="00B03DF9">
        <w:rPr>
          <w:sz w:val="28"/>
          <w:szCs w:val="28"/>
          <w:lang w:val="uk-UA" w:eastAsia="uk-UA"/>
        </w:rPr>
        <w:t>самовивозу</w:t>
      </w:r>
      <w:proofErr w:type="spellEnd"/>
      <w:r w:rsidRPr="00B03DF9">
        <w:rPr>
          <w:sz w:val="28"/>
          <w:szCs w:val="28"/>
          <w:lang w:val="uk-UA" w:eastAsia="uk-UA"/>
        </w:rPr>
        <w:t>.</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Ефективне вирішення комплексу питань, пов’язаних із поводженням з побутовими відходами, можливе лише за умови розв’язання основних завдань, визначених Програмою поводження з твердими побутовими відходами на період 2018-2019 років (далі – Програма), яка враховує сучасний стан та перспективи розвитку у цій сфері.</w:t>
      </w:r>
    </w:p>
    <w:p w:rsidR="00737D24" w:rsidRPr="00B03DF9" w:rsidRDefault="00737D24" w:rsidP="00737D24">
      <w:pPr>
        <w:spacing w:line="240" w:lineRule="atLeast"/>
        <w:jc w:val="center"/>
        <w:rPr>
          <w:sz w:val="28"/>
          <w:szCs w:val="28"/>
          <w:lang w:val="uk-UA" w:eastAsia="uk-UA"/>
        </w:rPr>
      </w:pPr>
      <w:r w:rsidRPr="00B03DF9">
        <w:rPr>
          <w:b/>
          <w:bCs/>
          <w:sz w:val="28"/>
          <w:szCs w:val="28"/>
          <w:lang w:val="uk-UA" w:eastAsia="uk-UA"/>
        </w:rPr>
        <w:t>2. Мета Програми</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lastRenderedPageBreak/>
        <w:t xml:space="preserve">Основною метою програми поводження з твердими побутовими відходами на території </w:t>
      </w:r>
      <w:proofErr w:type="spellStart"/>
      <w:r w:rsidRPr="00B03DF9">
        <w:rPr>
          <w:sz w:val="28"/>
          <w:szCs w:val="28"/>
          <w:lang w:val="uk-UA" w:eastAsia="uk-UA"/>
        </w:rPr>
        <w:t>Первозванівської</w:t>
      </w:r>
      <w:proofErr w:type="spellEnd"/>
      <w:r w:rsidRPr="00B03DF9">
        <w:rPr>
          <w:sz w:val="28"/>
          <w:szCs w:val="28"/>
          <w:lang w:val="uk-UA" w:eastAsia="uk-UA"/>
        </w:rPr>
        <w:t xml:space="preserve"> сільської ради на 2018 – 2019 роки є координація дій органів всіх гілок місцевої влади, суб’єктів господарювання та активізація населення для забезпечення реалізації загальнодержавної програми поводження з твердими побутовими відходами та державної політики в цій сфері, яка спрямована на підвищення ресурсозбереження, зменшення шкідливого впливу відходів на навколишнє природне середовище і здоров’я людей.</w:t>
      </w:r>
    </w:p>
    <w:p w:rsidR="00737D24" w:rsidRPr="00B03DF9" w:rsidRDefault="00737D24" w:rsidP="00737D24">
      <w:pPr>
        <w:spacing w:line="240" w:lineRule="atLeast"/>
        <w:jc w:val="center"/>
        <w:rPr>
          <w:sz w:val="28"/>
          <w:szCs w:val="28"/>
          <w:lang w:val="uk-UA" w:eastAsia="uk-UA"/>
        </w:rPr>
      </w:pPr>
      <w:r w:rsidRPr="00B03DF9">
        <w:rPr>
          <w:b/>
          <w:bCs/>
          <w:sz w:val="28"/>
          <w:szCs w:val="28"/>
          <w:lang w:val="uk-UA" w:eastAsia="uk-UA"/>
        </w:rPr>
        <w:t>3. Основні завдання Програми</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 xml:space="preserve">1.Проведення екологічних семінарів з цього питання в населених пунктах </w:t>
      </w:r>
      <w:proofErr w:type="spellStart"/>
      <w:r w:rsidRPr="00B03DF9">
        <w:rPr>
          <w:sz w:val="28"/>
          <w:szCs w:val="28"/>
          <w:lang w:val="uk-UA" w:eastAsia="uk-UA"/>
        </w:rPr>
        <w:t>Первозванівської</w:t>
      </w:r>
      <w:proofErr w:type="spellEnd"/>
      <w:r w:rsidRPr="00B03DF9">
        <w:rPr>
          <w:sz w:val="28"/>
          <w:szCs w:val="28"/>
          <w:lang w:val="uk-UA" w:eastAsia="uk-UA"/>
        </w:rPr>
        <w:t xml:space="preserve"> сільської ради;</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2.Проведення роз’яснювальної роботи серед учнів навчальних закладів. Розроблення методичних рекомендацій для проведення занять серед дітей дошкільного дитячого закладу у виді ігор, для засвоєння правил з поводженням з твердими побутовими відходами;</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3.Укладання договорів із споживачами послуг на вивезення та утилізацію твердих побутових відходів;</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4.Налагодження схем збору відходів від населення, підприємств та організацій;</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5.Запровадження системи роздільного збору твердих побутових відходів (далі – ТПВ) за фракціями: скло, папір, пластик, текстиль;</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6.</w:t>
      </w:r>
      <w:r>
        <w:rPr>
          <w:sz w:val="28"/>
          <w:szCs w:val="28"/>
          <w:lang w:val="uk-UA" w:eastAsia="uk-UA"/>
        </w:rPr>
        <w:t xml:space="preserve">Запровадження контейнерів </w:t>
      </w:r>
      <w:r w:rsidRPr="00B03DF9">
        <w:rPr>
          <w:sz w:val="28"/>
          <w:szCs w:val="28"/>
          <w:lang w:val="uk-UA" w:eastAsia="uk-UA"/>
        </w:rPr>
        <w:t xml:space="preserve">в населених пунктах </w:t>
      </w:r>
      <w:proofErr w:type="spellStart"/>
      <w:r w:rsidRPr="00B03DF9">
        <w:rPr>
          <w:sz w:val="28"/>
          <w:szCs w:val="28"/>
          <w:lang w:val="uk-UA" w:eastAsia="uk-UA"/>
        </w:rPr>
        <w:t>Первозванівської</w:t>
      </w:r>
      <w:proofErr w:type="spellEnd"/>
      <w:r w:rsidRPr="00B03DF9">
        <w:rPr>
          <w:sz w:val="28"/>
          <w:szCs w:val="28"/>
          <w:lang w:val="uk-UA" w:eastAsia="uk-UA"/>
        </w:rPr>
        <w:t xml:space="preserve"> сільської ради, для роздільного збору ТПВ;</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7.Зменшення обсягів утворення відходів, їх переробка та часткове захоронення на звалищах;</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8.Врегулювання тарифів та підвищення рентабельності і ефективності виробничої діяльності;</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9.Покращення якості і розширення обсягів надання послуг;</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10.Впровадження системи моніторингу поводження з ТПВ та покращення обліку і звітності;</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11.Зменшення негативного впливу ТПВ на довкілля і здоров’я населення.</w:t>
      </w:r>
    </w:p>
    <w:p w:rsidR="00737D24" w:rsidRPr="00B03DF9" w:rsidRDefault="00737D24" w:rsidP="00737D24">
      <w:pPr>
        <w:spacing w:line="240" w:lineRule="atLeast"/>
        <w:jc w:val="center"/>
        <w:rPr>
          <w:b/>
          <w:bCs/>
          <w:i/>
          <w:sz w:val="28"/>
          <w:szCs w:val="28"/>
          <w:lang w:val="uk-UA" w:eastAsia="uk-UA"/>
        </w:rPr>
      </w:pPr>
      <w:r w:rsidRPr="00B03DF9">
        <w:rPr>
          <w:b/>
          <w:bCs/>
          <w:i/>
          <w:sz w:val="28"/>
          <w:szCs w:val="28"/>
          <w:lang w:val="uk-UA" w:eastAsia="uk-UA"/>
        </w:rPr>
        <w:t>Розділ ІІ</w:t>
      </w:r>
    </w:p>
    <w:p w:rsidR="00737D24" w:rsidRPr="00B03DF9" w:rsidRDefault="00737D24" w:rsidP="00737D24">
      <w:pPr>
        <w:spacing w:line="240" w:lineRule="atLeast"/>
        <w:jc w:val="center"/>
        <w:rPr>
          <w:sz w:val="28"/>
          <w:szCs w:val="28"/>
          <w:lang w:val="uk-UA" w:eastAsia="uk-UA"/>
        </w:rPr>
      </w:pPr>
      <w:r w:rsidRPr="00B03DF9">
        <w:rPr>
          <w:b/>
          <w:bCs/>
          <w:sz w:val="28"/>
          <w:szCs w:val="28"/>
          <w:lang w:val="uk-UA" w:eastAsia="uk-UA"/>
        </w:rPr>
        <w:t>4. Сучасний стан сфери поводження з твердими побутовими відходами</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 xml:space="preserve">Населення </w:t>
      </w:r>
      <w:proofErr w:type="spellStart"/>
      <w:r w:rsidRPr="00B03DF9">
        <w:rPr>
          <w:sz w:val="28"/>
          <w:szCs w:val="28"/>
          <w:lang w:val="uk-UA" w:eastAsia="uk-UA"/>
        </w:rPr>
        <w:t>Первозванівської</w:t>
      </w:r>
      <w:proofErr w:type="spellEnd"/>
      <w:r w:rsidRPr="00B03DF9">
        <w:rPr>
          <w:sz w:val="28"/>
          <w:szCs w:val="28"/>
          <w:lang w:val="uk-UA" w:eastAsia="uk-UA"/>
        </w:rPr>
        <w:t xml:space="preserve"> сільської ради громади складає 5068 чол. В її межах функціонують сільськогосподарські підприємства, об'єкти торгівлі, установи соціально-культурного призначення: навчально-виховний комплекс, заклади дошкільної освіти, лікарська амбулаторія первинної медико-санітарної допомоги, </w:t>
      </w:r>
      <w:proofErr w:type="spellStart"/>
      <w:r w:rsidRPr="00B03DF9">
        <w:rPr>
          <w:sz w:val="28"/>
          <w:szCs w:val="28"/>
          <w:lang w:val="uk-UA" w:eastAsia="uk-UA"/>
        </w:rPr>
        <w:t>фельшерсько-акушерський</w:t>
      </w:r>
      <w:proofErr w:type="spellEnd"/>
      <w:r w:rsidRPr="00B03DF9">
        <w:rPr>
          <w:sz w:val="28"/>
          <w:szCs w:val="28"/>
          <w:lang w:val="uk-UA" w:eastAsia="uk-UA"/>
        </w:rPr>
        <w:t xml:space="preserve"> пункти, поштові відділення зв’язку, сільські будинки культури та бібліотеки.</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xml:space="preserve">Збиранням ТПВ на території </w:t>
      </w:r>
      <w:proofErr w:type="spellStart"/>
      <w:r w:rsidRPr="00B03DF9">
        <w:rPr>
          <w:sz w:val="28"/>
          <w:szCs w:val="28"/>
          <w:lang w:val="uk-UA" w:eastAsia="uk-UA"/>
        </w:rPr>
        <w:t>Первозванівської</w:t>
      </w:r>
      <w:proofErr w:type="spellEnd"/>
      <w:r w:rsidRPr="00B03DF9">
        <w:rPr>
          <w:sz w:val="28"/>
          <w:szCs w:val="28"/>
          <w:lang w:val="uk-UA" w:eastAsia="uk-UA"/>
        </w:rPr>
        <w:t xml:space="preserve"> сільської ради займаються самі жителі села. В селі контейнери та майданчики для збирання сміття відсутні. Сортування відходів не проводиться.</w:t>
      </w:r>
    </w:p>
    <w:p w:rsidR="00737D24" w:rsidRPr="00B03DF9" w:rsidRDefault="00737D24" w:rsidP="00737D24">
      <w:pPr>
        <w:spacing w:line="240" w:lineRule="atLeast"/>
        <w:jc w:val="center"/>
        <w:rPr>
          <w:i/>
          <w:sz w:val="28"/>
          <w:szCs w:val="28"/>
          <w:lang w:val="uk-UA" w:eastAsia="uk-UA"/>
        </w:rPr>
      </w:pPr>
      <w:r w:rsidRPr="00B03DF9">
        <w:rPr>
          <w:b/>
          <w:bCs/>
          <w:i/>
          <w:sz w:val="28"/>
          <w:szCs w:val="28"/>
          <w:lang w:val="uk-UA" w:eastAsia="uk-UA"/>
        </w:rPr>
        <w:t>Розділ ІІІ</w:t>
      </w:r>
    </w:p>
    <w:p w:rsidR="00737D24" w:rsidRPr="00B03DF9" w:rsidRDefault="00737D24" w:rsidP="00737D24">
      <w:pPr>
        <w:spacing w:line="240" w:lineRule="atLeast"/>
        <w:jc w:val="center"/>
        <w:rPr>
          <w:sz w:val="28"/>
          <w:szCs w:val="28"/>
          <w:lang w:val="uk-UA" w:eastAsia="uk-UA"/>
        </w:rPr>
      </w:pPr>
      <w:r w:rsidRPr="00B03DF9">
        <w:rPr>
          <w:b/>
          <w:bCs/>
          <w:sz w:val="28"/>
          <w:szCs w:val="28"/>
          <w:lang w:val="uk-UA" w:eastAsia="uk-UA"/>
        </w:rPr>
        <w:t>5. Основні завдання Програми</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lastRenderedPageBreak/>
        <w:t>Головним завданням Програми є контроль за поводженням із твердими побутовими відходами та впровадження системи роздільного збору відходів з використанням вторинної сировини, у тому числі:</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зниження та повна ліквідація екологічної напруги;</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запровадження ресурсозберігаючих технологій;</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створення нових робочих місць;</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підвищення іміджу місцевої влади в питаннях поводження з ТПВ;</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підвищення культури споживання населення громади;</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інформування громадськості;</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xml:space="preserve">- співпраця місцевої влади, громадськості та підприємців у проведенні заходів екологічних програмах. </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реформування системи санітарного очищення;</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організація збирання та вивезення ТПВ з приватного сектору;</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посилення контролю за діючим звалищем побутових відходів для запобігання шкідливому впливу на довкілля та здоров’я людини, рекультивацію земельної ділянки після закриття звалища;</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зменшення обсягів захоронення ТПВ шляхом упровадження нових сучасних високоефективних методів збирання, перевезення, зберігання.</w:t>
      </w:r>
    </w:p>
    <w:p w:rsidR="00737D24" w:rsidRPr="00B03DF9" w:rsidRDefault="00737D24" w:rsidP="00737D24">
      <w:pPr>
        <w:spacing w:line="240" w:lineRule="atLeast"/>
        <w:jc w:val="center"/>
        <w:rPr>
          <w:i/>
          <w:sz w:val="28"/>
          <w:szCs w:val="28"/>
          <w:lang w:val="uk-UA" w:eastAsia="uk-UA"/>
        </w:rPr>
      </w:pPr>
      <w:r w:rsidRPr="00B03DF9">
        <w:rPr>
          <w:b/>
          <w:bCs/>
          <w:i/>
          <w:sz w:val="28"/>
          <w:szCs w:val="28"/>
          <w:lang w:val="uk-UA" w:eastAsia="uk-UA"/>
        </w:rPr>
        <w:t>Розділ ІV</w:t>
      </w:r>
    </w:p>
    <w:p w:rsidR="00737D24" w:rsidRPr="00B03DF9" w:rsidRDefault="00737D24" w:rsidP="00737D24">
      <w:pPr>
        <w:spacing w:line="240" w:lineRule="atLeast"/>
        <w:jc w:val="center"/>
        <w:rPr>
          <w:sz w:val="28"/>
          <w:szCs w:val="28"/>
          <w:lang w:val="uk-UA" w:eastAsia="uk-UA"/>
        </w:rPr>
      </w:pPr>
      <w:r w:rsidRPr="00B03DF9">
        <w:rPr>
          <w:b/>
          <w:bCs/>
          <w:sz w:val="28"/>
          <w:szCs w:val="28"/>
          <w:lang w:val="uk-UA" w:eastAsia="uk-UA"/>
        </w:rPr>
        <w:t>6. Основні напрямки розв'язання завдань Програми</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Розв’язати основні завдання можливо за такими напрямками:</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розподіл територій загального користування та призначення відповідальних за стан благоустрою на цих територіях, включаючи і на договірних засадах;</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організація збирання та вивезення ТПВ з приватного сектору;</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ліквідація несанкціонованих звалищ та санація території;</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облаштування контейнерних майданчиків для впровадження системи роздільного збору відходів з використанням вторинної сировини;</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залучення підприємств по збиранню вторинної сировини;</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виготовлення проектно-кошторисної документації на місця облаштування контейнерних майданчиків для впровадження системи роздільного збору відходів з використанням вторинної сировини;</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замовлення та виготовлення проектів землеустрою щодо виділення земельних ділянок під полігон твердих побутових відходів та місця облаштування контейнерних майданчиків для впровадження системи роздільного збору відходів з використанням вторинної сировини;</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впровадження новітніх технологій щодо переробки ТПВ.</w:t>
      </w:r>
    </w:p>
    <w:p w:rsidR="00737D24" w:rsidRPr="00B03DF9" w:rsidRDefault="00737D24" w:rsidP="00737D24">
      <w:pPr>
        <w:spacing w:line="240" w:lineRule="atLeast"/>
        <w:jc w:val="center"/>
        <w:rPr>
          <w:i/>
          <w:sz w:val="28"/>
          <w:szCs w:val="28"/>
          <w:lang w:val="uk-UA" w:eastAsia="uk-UA"/>
        </w:rPr>
      </w:pPr>
      <w:r w:rsidRPr="00B03DF9">
        <w:rPr>
          <w:b/>
          <w:bCs/>
          <w:i/>
          <w:sz w:val="28"/>
          <w:szCs w:val="28"/>
          <w:lang w:val="uk-UA" w:eastAsia="uk-UA"/>
        </w:rPr>
        <w:t>Розділ V</w:t>
      </w:r>
    </w:p>
    <w:p w:rsidR="00737D24" w:rsidRPr="00B03DF9" w:rsidRDefault="00737D24" w:rsidP="00737D24">
      <w:pPr>
        <w:spacing w:line="240" w:lineRule="atLeast"/>
        <w:jc w:val="center"/>
        <w:rPr>
          <w:sz w:val="28"/>
          <w:szCs w:val="28"/>
          <w:lang w:val="uk-UA" w:eastAsia="uk-UA"/>
        </w:rPr>
      </w:pPr>
      <w:r w:rsidRPr="00B03DF9">
        <w:rPr>
          <w:b/>
          <w:bCs/>
          <w:sz w:val="28"/>
          <w:szCs w:val="28"/>
          <w:lang w:val="uk-UA" w:eastAsia="uk-UA"/>
        </w:rPr>
        <w:t>7. Виконання Програми дасть змогу</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забезпечити належний санітарний стан населеного пункту.</w:t>
      </w:r>
    </w:p>
    <w:p w:rsidR="00737D24" w:rsidRPr="00B03DF9" w:rsidRDefault="00737D24" w:rsidP="00737D24">
      <w:pPr>
        <w:spacing w:line="240" w:lineRule="atLeast"/>
        <w:jc w:val="center"/>
        <w:rPr>
          <w:i/>
          <w:sz w:val="28"/>
          <w:szCs w:val="28"/>
          <w:lang w:val="uk-UA" w:eastAsia="uk-UA"/>
        </w:rPr>
      </w:pPr>
      <w:r w:rsidRPr="00B03DF9">
        <w:rPr>
          <w:b/>
          <w:bCs/>
          <w:i/>
          <w:sz w:val="28"/>
          <w:szCs w:val="28"/>
          <w:lang w:val="uk-UA" w:eastAsia="uk-UA"/>
        </w:rPr>
        <w:t>Розділ VІ.</w:t>
      </w:r>
    </w:p>
    <w:p w:rsidR="00737D24" w:rsidRPr="00B03DF9" w:rsidRDefault="00737D24" w:rsidP="00737D24">
      <w:pPr>
        <w:spacing w:line="240" w:lineRule="atLeast"/>
        <w:jc w:val="center"/>
        <w:rPr>
          <w:sz w:val="28"/>
          <w:szCs w:val="28"/>
          <w:lang w:val="uk-UA" w:eastAsia="uk-UA"/>
        </w:rPr>
      </w:pPr>
      <w:r w:rsidRPr="00B03DF9">
        <w:rPr>
          <w:b/>
          <w:bCs/>
          <w:sz w:val="28"/>
          <w:szCs w:val="28"/>
          <w:lang w:val="uk-UA" w:eastAsia="uk-UA"/>
        </w:rPr>
        <w:t>8. Механізм забезпечення Програми.</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 xml:space="preserve">Виконання Програми відповідно до своїх повноважень на місцевому рівні забезпечує виконавчий комітет </w:t>
      </w:r>
      <w:proofErr w:type="spellStart"/>
      <w:r w:rsidRPr="00B03DF9">
        <w:rPr>
          <w:sz w:val="28"/>
          <w:szCs w:val="28"/>
          <w:lang w:val="uk-UA" w:eastAsia="uk-UA"/>
        </w:rPr>
        <w:t>Первозванівської</w:t>
      </w:r>
      <w:proofErr w:type="spellEnd"/>
      <w:r w:rsidRPr="00B03DF9">
        <w:rPr>
          <w:sz w:val="28"/>
          <w:szCs w:val="28"/>
          <w:lang w:val="uk-UA" w:eastAsia="uk-UA"/>
        </w:rPr>
        <w:t xml:space="preserve"> сільської ради на чолі з сільським головою та районна санітарно - епідеміологічна станція .</w:t>
      </w:r>
    </w:p>
    <w:p w:rsidR="00737D24" w:rsidRPr="00B03DF9" w:rsidRDefault="00737D24" w:rsidP="00737D24">
      <w:pPr>
        <w:spacing w:line="240" w:lineRule="atLeast"/>
        <w:ind w:firstLine="708"/>
        <w:jc w:val="both"/>
        <w:rPr>
          <w:sz w:val="28"/>
          <w:szCs w:val="28"/>
          <w:lang w:val="uk-UA" w:eastAsia="uk-UA"/>
        </w:rPr>
      </w:pPr>
      <w:r w:rsidRPr="00B03DF9">
        <w:rPr>
          <w:sz w:val="28"/>
          <w:szCs w:val="28"/>
          <w:lang w:val="uk-UA" w:eastAsia="uk-UA"/>
        </w:rPr>
        <w:t xml:space="preserve">Контроль за ходом реалізації програми здійснюють: сільський голова, </w:t>
      </w:r>
      <w:r w:rsidRPr="00B03DF9">
        <w:rPr>
          <w:sz w:val="28"/>
          <w:szCs w:val="28"/>
          <w:lang w:val="uk-UA"/>
        </w:rPr>
        <w:t xml:space="preserve">постійна комісія сільської ради з питань земельних відносин, екології, </w:t>
      </w:r>
      <w:r w:rsidRPr="00B03DF9">
        <w:rPr>
          <w:sz w:val="28"/>
          <w:szCs w:val="28"/>
          <w:lang w:val="uk-UA"/>
        </w:rPr>
        <w:lastRenderedPageBreak/>
        <w:t>містобудування та використання природних ресурсів</w:t>
      </w:r>
      <w:r w:rsidRPr="00B03DF9">
        <w:rPr>
          <w:sz w:val="28"/>
          <w:szCs w:val="28"/>
          <w:lang w:val="uk-UA" w:eastAsia="uk-UA"/>
        </w:rPr>
        <w:t>. Фінансове забезпечення реалізації заходів, передбачених програмою, базується на основі чинного законодавства з залученням коштів:</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сільського бюджету;</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районного бюджету;</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державного бюджету, в тому числі Державного фонду охорони навколишнього природного середовища;</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приватного капіталу;</w:t>
      </w:r>
    </w:p>
    <w:p w:rsidR="00737D24" w:rsidRPr="00B03DF9" w:rsidRDefault="00737D24" w:rsidP="00737D24">
      <w:pPr>
        <w:spacing w:line="240" w:lineRule="atLeast"/>
        <w:jc w:val="center"/>
        <w:rPr>
          <w:i/>
          <w:sz w:val="28"/>
          <w:szCs w:val="28"/>
          <w:lang w:val="uk-UA" w:eastAsia="uk-UA"/>
        </w:rPr>
      </w:pPr>
      <w:r w:rsidRPr="00B03DF9">
        <w:rPr>
          <w:b/>
          <w:bCs/>
          <w:i/>
          <w:sz w:val="28"/>
          <w:szCs w:val="28"/>
          <w:lang w:val="uk-UA" w:eastAsia="uk-UA"/>
        </w:rPr>
        <w:t>Розділ VІІ</w:t>
      </w:r>
    </w:p>
    <w:p w:rsidR="00737D24" w:rsidRPr="00B03DF9" w:rsidRDefault="00737D24" w:rsidP="00737D24">
      <w:pPr>
        <w:spacing w:line="240" w:lineRule="atLeast"/>
        <w:jc w:val="center"/>
        <w:rPr>
          <w:sz w:val="28"/>
          <w:szCs w:val="28"/>
          <w:lang w:val="uk-UA" w:eastAsia="uk-UA"/>
        </w:rPr>
      </w:pPr>
      <w:r w:rsidRPr="00B03DF9">
        <w:rPr>
          <w:b/>
          <w:bCs/>
          <w:sz w:val="28"/>
          <w:szCs w:val="28"/>
          <w:lang w:val="uk-UA" w:eastAsia="uk-UA"/>
        </w:rPr>
        <w:t>9. Очікувані результати впровадження Програми</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Виконання Програми дасть змогу:</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ліквідувати стихійні сміттєзвалища;</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зменшити шкідливий вплив побутових відходів на навколишнє середовище;</w:t>
      </w:r>
    </w:p>
    <w:p w:rsidR="00737D24" w:rsidRPr="00B03DF9" w:rsidRDefault="00737D24" w:rsidP="00737D24">
      <w:pPr>
        <w:spacing w:line="240" w:lineRule="atLeast"/>
        <w:jc w:val="both"/>
        <w:rPr>
          <w:sz w:val="28"/>
          <w:szCs w:val="28"/>
          <w:lang w:val="uk-UA" w:eastAsia="uk-UA"/>
        </w:rPr>
      </w:pPr>
      <w:r w:rsidRPr="00B03DF9">
        <w:rPr>
          <w:sz w:val="28"/>
          <w:szCs w:val="28"/>
          <w:lang w:val="uk-UA" w:eastAsia="uk-UA"/>
        </w:rPr>
        <w:t>- зменшити обсяги захоронення побутових відходів;</w:t>
      </w:r>
    </w:p>
    <w:p w:rsidR="00737D24" w:rsidRPr="00B03DF9" w:rsidRDefault="00737D24" w:rsidP="00737D24">
      <w:pPr>
        <w:spacing w:line="240" w:lineRule="atLeast"/>
        <w:jc w:val="both"/>
        <w:rPr>
          <w:i/>
          <w:iCs/>
          <w:sz w:val="28"/>
          <w:szCs w:val="28"/>
          <w:lang w:val="uk-UA" w:eastAsia="uk-UA"/>
        </w:rPr>
      </w:pPr>
    </w:p>
    <w:p w:rsidR="00737D24" w:rsidRPr="00B03DF9" w:rsidRDefault="00737D24" w:rsidP="00737D24">
      <w:pPr>
        <w:spacing w:line="240" w:lineRule="atLeast"/>
        <w:jc w:val="both"/>
        <w:rPr>
          <w:iCs/>
          <w:sz w:val="28"/>
          <w:szCs w:val="28"/>
          <w:lang w:val="uk-UA" w:eastAsia="uk-UA"/>
        </w:rPr>
      </w:pPr>
      <w:r w:rsidRPr="00B03DF9">
        <w:rPr>
          <w:iCs/>
          <w:sz w:val="28"/>
          <w:szCs w:val="28"/>
          <w:lang w:val="uk-UA" w:eastAsia="uk-UA"/>
        </w:rPr>
        <w:t xml:space="preserve">Сільський голова                                                         </w:t>
      </w:r>
      <w:r>
        <w:rPr>
          <w:iCs/>
          <w:sz w:val="28"/>
          <w:szCs w:val="28"/>
          <w:lang w:val="uk-UA" w:eastAsia="uk-UA"/>
        </w:rPr>
        <w:t xml:space="preserve">                    П.П. Мудрак</w:t>
      </w: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both"/>
        <w:rPr>
          <w:i/>
          <w:iCs/>
          <w:lang w:val="uk-UA" w:eastAsia="uk-UA"/>
        </w:rPr>
      </w:pPr>
    </w:p>
    <w:p w:rsidR="00737D24" w:rsidRPr="00B03DF9" w:rsidRDefault="00737D24" w:rsidP="00737D24">
      <w:pPr>
        <w:spacing w:line="240" w:lineRule="atLeast"/>
        <w:jc w:val="right"/>
        <w:rPr>
          <w:lang w:val="uk-UA" w:eastAsia="uk-UA"/>
        </w:rPr>
      </w:pPr>
      <w:r w:rsidRPr="00B03DF9">
        <w:rPr>
          <w:i/>
          <w:iCs/>
          <w:lang w:val="uk-UA" w:eastAsia="uk-UA"/>
        </w:rPr>
        <w:lastRenderedPageBreak/>
        <w:t>Додаток</w:t>
      </w:r>
    </w:p>
    <w:p w:rsidR="00737D24" w:rsidRPr="00B03DF9" w:rsidRDefault="00737D24" w:rsidP="00737D24">
      <w:pPr>
        <w:spacing w:line="240" w:lineRule="atLeast"/>
        <w:jc w:val="right"/>
        <w:rPr>
          <w:i/>
          <w:iCs/>
          <w:lang w:val="uk-UA" w:eastAsia="uk-UA"/>
        </w:rPr>
      </w:pPr>
      <w:r w:rsidRPr="00B03DF9">
        <w:rPr>
          <w:i/>
          <w:iCs/>
          <w:lang w:val="uk-UA" w:eastAsia="uk-UA"/>
        </w:rPr>
        <w:t xml:space="preserve">до рішення п’ятої сесії </w:t>
      </w:r>
    </w:p>
    <w:p w:rsidR="00737D24" w:rsidRPr="00B03DF9" w:rsidRDefault="00737D24" w:rsidP="00737D24">
      <w:pPr>
        <w:spacing w:line="240" w:lineRule="atLeast"/>
        <w:jc w:val="right"/>
        <w:rPr>
          <w:i/>
          <w:iCs/>
          <w:lang w:val="uk-UA" w:eastAsia="uk-UA"/>
        </w:rPr>
      </w:pPr>
      <w:proofErr w:type="spellStart"/>
      <w:r w:rsidRPr="00B03DF9">
        <w:rPr>
          <w:i/>
          <w:iCs/>
          <w:lang w:val="uk-UA" w:eastAsia="uk-UA"/>
        </w:rPr>
        <w:t>Первозванівської</w:t>
      </w:r>
      <w:proofErr w:type="spellEnd"/>
      <w:r w:rsidRPr="00B03DF9">
        <w:rPr>
          <w:i/>
          <w:iCs/>
          <w:lang w:val="uk-UA" w:eastAsia="uk-UA"/>
        </w:rPr>
        <w:t xml:space="preserve"> сільської ради </w:t>
      </w:r>
    </w:p>
    <w:p w:rsidR="00737D24" w:rsidRPr="00B03DF9" w:rsidRDefault="00737D24" w:rsidP="00737D24">
      <w:pPr>
        <w:spacing w:line="240" w:lineRule="atLeast"/>
        <w:jc w:val="right"/>
        <w:rPr>
          <w:i/>
          <w:iCs/>
          <w:lang w:val="uk-UA" w:eastAsia="uk-UA"/>
        </w:rPr>
      </w:pPr>
      <w:r w:rsidRPr="00B03DF9">
        <w:rPr>
          <w:i/>
          <w:iCs/>
          <w:lang w:val="uk-UA" w:eastAsia="uk-UA"/>
        </w:rPr>
        <w:t>восьмого скликання</w:t>
      </w:r>
      <w:r w:rsidRPr="00B03DF9">
        <w:rPr>
          <w:lang w:val="uk-UA" w:eastAsia="uk-UA"/>
        </w:rPr>
        <w:t xml:space="preserve"> </w:t>
      </w:r>
      <w:r w:rsidRPr="00B03DF9">
        <w:rPr>
          <w:i/>
          <w:iCs/>
          <w:lang w:val="uk-UA" w:eastAsia="uk-UA"/>
        </w:rPr>
        <w:t>від 27.04. 2018 року № 212</w:t>
      </w:r>
    </w:p>
    <w:p w:rsidR="00737D24" w:rsidRPr="00B03DF9" w:rsidRDefault="00737D24" w:rsidP="00737D24">
      <w:pPr>
        <w:spacing w:line="240" w:lineRule="atLeast"/>
        <w:jc w:val="right"/>
        <w:rPr>
          <w:lang w:val="uk-UA" w:eastAsia="uk-UA"/>
        </w:rPr>
      </w:pPr>
    </w:p>
    <w:p w:rsidR="00737D24" w:rsidRPr="00B03DF9" w:rsidRDefault="00737D24" w:rsidP="00737D24">
      <w:pPr>
        <w:spacing w:line="240" w:lineRule="atLeast"/>
        <w:jc w:val="center"/>
        <w:rPr>
          <w:lang w:val="uk-UA" w:eastAsia="uk-UA"/>
        </w:rPr>
      </w:pPr>
      <w:r w:rsidRPr="00B03DF9">
        <w:rPr>
          <w:b/>
          <w:bCs/>
          <w:lang w:val="uk-UA" w:eastAsia="uk-UA"/>
        </w:rPr>
        <w:t>Заходи</w:t>
      </w:r>
    </w:p>
    <w:p w:rsidR="00737D24" w:rsidRPr="00B03DF9" w:rsidRDefault="00737D24" w:rsidP="00737D24">
      <w:pPr>
        <w:spacing w:line="240" w:lineRule="atLeast"/>
        <w:jc w:val="center"/>
        <w:rPr>
          <w:lang w:val="uk-UA" w:eastAsia="uk-UA"/>
        </w:rPr>
      </w:pPr>
      <w:r w:rsidRPr="00B03DF9">
        <w:rPr>
          <w:b/>
          <w:bCs/>
          <w:lang w:val="uk-UA" w:eastAsia="uk-UA"/>
        </w:rPr>
        <w:t xml:space="preserve">Програми поводження з твердими побутовими відходами в </w:t>
      </w:r>
      <w:proofErr w:type="spellStart"/>
      <w:r w:rsidRPr="00B03DF9">
        <w:rPr>
          <w:b/>
          <w:bCs/>
          <w:lang w:val="uk-UA" w:eastAsia="uk-UA"/>
        </w:rPr>
        <w:t>Первозванівській</w:t>
      </w:r>
      <w:proofErr w:type="spellEnd"/>
      <w:r w:rsidRPr="00B03DF9">
        <w:rPr>
          <w:b/>
          <w:bCs/>
          <w:lang w:val="uk-UA" w:eastAsia="uk-UA"/>
        </w:rPr>
        <w:t xml:space="preserve">  сільській раді на 2018-2019 роки</w:t>
      </w:r>
    </w:p>
    <w:p w:rsidR="00737D24" w:rsidRPr="00B03DF9" w:rsidRDefault="00737D24" w:rsidP="00737D24">
      <w:pPr>
        <w:spacing w:line="240" w:lineRule="atLeast"/>
        <w:jc w:val="center"/>
        <w:rPr>
          <w:lang w:val="uk-UA" w:eastAsia="uk-UA"/>
        </w:rPr>
      </w:pPr>
    </w:p>
    <w:tbl>
      <w:tblPr>
        <w:tblW w:w="963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409"/>
        <w:gridCol w:w="1846"/>
        <w:gridCol w:w="1229"/>
        <w:gridCol w:w="1602"/>
        <w:gridCol w:w="1553"/>
      </w:tblGrid>
      <w:tr w:rsidR="00737D24" w:rsidRPr="00B03DF9" w:rsidTr="00C020C8">
        <w:trPr>
          <w:tblCellSpacing w:w="0" w:type="dxa"/>
        </w:trPr>
        <w:tc>
          <w:tcPr>
            <w:tcW w:w="4395" w:type="dxa"/>
            <w:tcBorders>
              <w:top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b/>
                <w:bCs/>
                <w:lang w:val="uk-UA" w:eastAsia="uk-UA"/>
              </w:rPr>
              <w:t>Заходи Програми</w:t>
            </w:r>
          </w:p>
        </w:tc>
        <w:tc>
          <w:tcPr>
            <w:tcW w:w="850"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b/>
                <w:bCs/>
                <w:lang w:val="uk-UA" w:eastAsia="uk-UA"/>
              </w:rPr>
              <w:t>Відповідальні виконавці</w:t>
            </w:r>
          </w:p>
        </w:tc>
        <w:tc>
          <w:tcPr>
            <w:tcW w:w="1233"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b/>
                <w:bCs/>
                <w:lang w:val="uk-UA" w:eastAsia="uk-UA"/>
              </w:rPr>
              <w:t>Термін виконання</w:t>
            </w:r>
          </w:p>
          <w:p w:rsidR="00737D24" w:rsidRPr="00B03DF9" w:rsidRDefault="00737D24" w:rsidP="00C020C8">
            <w:pPr>
              <w:spacing w:line="240" w:lineRule="atLeast"/>
              <w:jc w:val="both"/>
              <w:rPr>
                <w:lang w:val="uk-UA" w:eastAsia="uk-UA"/>
              </w:rPr>
            </w:pPr>
            <w:r w:rsidRPr="00B03DF9">
              <w:rPr>
                <w:b/>
                <w:bCs/>
                <w:lang w:val="uk-UA" w:eastAsia="uk-UA"/>
              </w:rPr>
              <w:t>(рік)</w:t>
            </w:r>
          </w:p>
        </w:tc>
        <w:tc>
          <w:tcPr>
            <w:tcW w:w="1602"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b/>
                <w:bCs/>
                <w:lang w:val="uk-UA" w:eastAsia="uk-UA"/>
              </w:rPr>
              <w:t>Обсяг фінансування,</w:t>
            </w:r>
          </w:p>
          <w:p w:rsidR="00737D24" w:rsidRPr="00B03DF9" w:rsidRDefault="00737D24" w:rsidP="00C020C8">
            <w:pPr>
              <w:spacing w:line="240" w:lineRule="atLeast"/>
              <w:jc w:val="both"/>
              <w:rPr>
                <w:lang w:val="uk-UA" w:eastAsia="uk-UA"/>
              </w:rPr>
            </w:pPr>
            <w:r w:rsidRPr="00B03DF9">
              <w:rPr>
                <w:b/>
                <w:bCs/>
                <w:lang w:val="uk-UA" w:eastAsia="uk-UA"/>
              </w:rPr>
              <w:t>тис. грн..</w:t>
            </w:r>
          </w:p>
        </w:tc>
        <w:tc>
          <w:tcPr>
            <w:tcW w:w="1559" w:type="dxa"/>
            <w:tcBorders>
              <w:top w:val="outset" w:sz="6" w:space="0" w:color="auto"/>
              <w:left w:val="outset" w:sz="6" w:space="0" w:color="auto"/>
              <w:bottom w:val="outset" w:sz="6" w:space="0" w:color="auto"/>
            </w:tcBorders>
          </w:tcPr>
          <w:p w:rsidR="00737D24" w:rsidRPr="00B03DF9" w:rsidRDefault="00737D24" w:rsidP="00C020C8">
            <w:pPr>
              <w:spacing w:line="240" w:lineRule="atLeast"/>
              <w:jc w:val="both"/>
              <w:rPr>
                <w:lang w:val="uk-UA" w:eastAsia="uk-UA"/>
              </w:rPr>
            </w:pPr>
            <w:r w:rsidRPr="00B03DF9">
              <w:rPr>
                <w:b/>
                <w:bCs/>
                <w:lang w:val="uk-UA" w:eastAsia="uk-UA"/>
              </w:rPr>
              <w:t>Джерела фінансування</w:t>
            </w:r>
          </w:p>
        </w:tc>
      </w:tr>
      <w:tr w:rsidR="00737D24" w:rsidRPr="00B03DF9" w:rsidTr="00C020C8">
        <w:trPr>
          <w:tblCellSpacing w:w="0" w:type="dxa"/>
        </w:trPr>
        <w:tc>
          <w:tcPr>
            <w:tcW w:w="4395" w:type="dxa"/>
            <w:tcBorders>
              <w:top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1. Переглянути діючі схеми санітарної очистки населення та розробити заходи санітарної очистки і утилізації відходів з урахуванням можливостей та сучасних технологій поводження з побутовими відходами</w:t>
            </w:r>
          </w:p>
        </w:tc>
        <w:tc>
          <w:tcPr>
            <w:tcW w:w="850"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Виконавчий ко</w:t>
            </w:r>
            <w:bookmarkStart w:id="0" w:name="_GoBack"/>
            <w:bookmarkEnd w:id="0"/>
            <w:r w:rsidRPr="00B03DF9">
              <w:rPr>
                <w:lang w:val="uk-UA" w:eastAsia="uk-UA"/>
              </w:rPr>
              <w:t>мітет</w:t>
            </w:r>
          </w:p>
        </w:tc>
        <w:tc>
          <w:tcPr>
            <w:tcW w:w="1233"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2018</w:t>
            </w:r>
          </w:p>
          <w:p w:rsidR="00737D24" w:rsidRPr="00B03DF9" w:rsidRDefault="00737D24" w:rsidP="00C020C8">
            <w:pPr>
              <w:spacing w:line="240" w:lineRule="atLeast"/>
              <w:jc w:val="both"/>
              <w:rPr>
                <w:lang w:val="uk-UA" w:eastAsia="uk-UA"/>
              </w:rPr>
            </w:pPr>
            <w:r w:rsidRPr="00B03DF9">
              <w:rPr>
                <w:lang w:val="uk-UA" w:eastAsia="uk-UA"/>
              </w:rPr>
              <w:t> </w:t>
            </w:r>
          </w:p>
        </w:tc>
        <w:tc>
          <w:tcPr>
            <w:tcW w:w="1602"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1,7</w:t>
            </w:r>
          </w:p>
        </w:tc>
        <w:tc>
          <w:tcPr>
            <w:tcW w:w="1559" w:type="dxa"/>
            <w:tcBorders>
              <w:top w:val="outset" w:sz="6" w:space="0" w:color="auto"/>
              <w:left w:val="outset" w:sz="6" w:space="0" w:color="auto"/>
              <w:bottom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 xml:space="preserve">Бюджет сільської ради </w:t>
            </w:r>
          </w:p>
        </w:tc>
      </w:tr>
      <w:tr w:rsidR="00737D24" w:rsidRPr="00B03DF9" w:rsidTr="00C020C8">
        <w:trPr>
          <w:tblCellSpacing w:w="0" w:type="dxa"/>
        </w:trPr>
        <w:tc>
          <w:tcPr>
            <w:tcW w:w="4395" w:type="dxa"/>
            <w:tcBorders>
              <w:top w:val="outset" w:sz="6" w:space="0" w:color="auto"/>
              <w:bottom w:val="outset" w:sz="6" w:space="0" w:color="auto"/>
              <w:right w:val="outset" w:sz="6" w:space="0" w:color="auto"/>
            </w:tcBorders>
          </w:tcPr>
          <w:p w:rsidR="00737D24" w:rsidRPr="00B03DF9" w:rsidRDefault="00737D24" w:rsidP="00C020C8">
            <w:pPr>
              <w:spacing w:line="240" w:lineRule="atLeast"/>
              <w:rPr>
                <w:lang w:val="uk-UA" w:eastAsia="uk-UA"/>
              </w:rPr>
            </w:pPr>
            <w:r w:rsidRPr="00B03DF9">
              <w:rPr>
                <w:lang w:val="uk-UA" w:eastAsia="uk-UA"/>
              </w:rPr>
              <w:t>2.Ліквідовувати несанкціоновані сміттєзвалища твердих побутових відходів та не допустити їх утворення</w:t>
            </w:r>
          </w:p>
        </w:tc>
        <w:tc>
          <w:tcPr>
            <w:tcW w:w="850"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 xml:space="preserve">Виконавчий комітет </w:t>
            </w:r>
          </w:p>
        </w:tc>
        <w:tc>
          <w:tcPr>
            <w:tcW w:w="1233"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До 01.12.2018</w:t>
            </w:r>
          </w:p>
          <w:p w:rsidR="00737D24" w:rsidRPr="00B03DF9" w:rsidRDefault="00737D24" w:rsidP="00C020C8">
            <w:pPr>
              <w:spacing w:line="240" w:lineRule="atLeast"/>
              <w:jc w:val="both"/>
              <w:rPr>
                <w:lang w:val="uk-UA" w:eastAsia="uk-UA"/>
              </w:rPr>
            </w:pPr>
            <w:r w:rsidRPr="00B03DF9">
              <w:rPr>
                <w:lang w:val="uk-UA" w:eastAsia="uk-UA"/>
              </w:rPr>
              <w:t> </w:t>
            </w:r>
          </w:p>
        </w:tc>
        <w:tc>
          <w:tcPr>
            <w:tcW w:w="1602"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0,6</w:t>
            </w:r>
          </w:p>
        </w:tc>
        <w:tc>
          <w:tcPr>
            <w:tcW w:w="1559" w:type="dxa"/>
            <w:tcBorders>
              <w:top w:val="outset" w:sz="6" w:space="0" w:color="auto"/>
              <w:left w:val="outset" w:sz="6" w:space="0" w:color="auto"/>
              <w:bottom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Бюджет сільської ради</w:t>
            </w:r>
          </w:p>
        </w:tc>
      </w:tr>
      <w:tr w:rsidR="00737D24" w:rsidRPr="00B03DF9" w:rsidTr="00C020C8">
        <w:trPr>
          <w:tblCellSpacing w:w="0" w:type="dxa"/>
        </w:trPr>
        <w:tc>
          <w:tcPr>
            <w:tcW w:w="4395" w:type="dxa"/>
            <w:tcBorders>
              <w:top w:val="outset" w:sz="6" w:space="0" w:color="auto"/>
              <w:bottom w:val="outset" w:sz="6" w:space="0" w:color="auto"/>
              <w:right w:val="outset" w:sz="6" w:space="0" w:color="auto"/>
            </w:tcBorders>
          </w:tcPr>
          <w:p w:rsidR="00737D24" w:rsidRPr="00B03DF9" w:rsidRDefault="00737D24" w:rsidP="00C020C8">
            <w:pPr>
              <w:spacing w:line="240" w:lineRule="atLeast"/>
              <w:rPr>
                <w:lang w:val="uk-UA" w:eastAsia="uk-UA"/>
              </w:rPr>
            </w:pPr>
            <w:r w:rsidRPr="00B03DF9">
              <w:rPr>
                <w:lang w:val="uk-UA" w:eastAsia="uk-UA"/>
              </w:rPr>
              <w:t>3.Облаштування майданчиків для встановлення контейнерів із збирання сміття та встановлення контейнерів із роздільного збирання</w:t>
            </w:r>
          </w:p>
        </w:tc>
        <w:tc>
          <w:tcPr>
            <w:tcW w:w="850"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Виконавчий комітет</w:t>
            </w:r>
          </w:p>
        </w:tc>
        <w:tc>
          <w:tcPr>
            <w:tcW w:w="1233"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2018-2019</w:t>
            </w:r>
          </w:p>
        </w:tc>
        <w:tc>
          <w:tcPr>
            <w:tcW w:w="1602"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w:t>
            </w:r>
          </w:p>
        </w:tc>
        <w:tc>
          <w:tcPr>
            <w:tcW w:w="1559" w:type="dxa"/>
            <w:tcBorders>
              <w:top w:val="outset" w:sz="6" w:space="0" w:color="auto"/>
              <w:left w:val="outset" w:sz="6" w:space="0" w:color="auto"/>
              <w:bottom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Бюджет сільської ради, державний бюджет</w:t>
            </w:r>
          </w:p>
        </w:tc>
      </w:tr>
      <w:tr w:rsidR="00737D24" w:rsidRPr="00B03DF9" w:rsidTr="00C020C8">
        <w:trPr>
          <w:tblCellSpacing w:w="0" w:type="dxa"/>
        </w:trPr>
        <w:tc>
          <w:tcPr>
            <w:tcW w:w="4395" w:type="dxa"/>
            <w:tcBorders>
              <w:top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 xml:space="preserve">3.Через засоби масової інформації, заклади освіти проводити роз’яснювальну, </w:t>
            </w:r>
            <w:proofErr w:type="spellStart"/>
            <w:r w:rsidRPr="00B03DF9">
              <w:rPr>
                <w:lang w:val="uk-UA" w:eastAsia="uk-UA"/>
              </w:rPr>
              <w:t>навчально</w:t>
            </w:r>
            <w:proofErr w:type="spellEnd"/>
            <w:r w:rsidRPr="00B03DF9">
              <w:rPr>
                <w:lang w:val="uk-UA" w:eastAsia="uk-UA"/>
              </w:rPr>
              <w:t xml:space="preserve"> - виховну роботу щодо поводження з твердими побутовими відходами</w:t>
            </w:r>
          </w:p>
        </w:tc>
        <w:tc>
          <w:tcPr>
            <w:tcW w:w="850"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КЗ «</w:t>
            </w:r>
            <w:proofErr w:type="spellStart"/>
            <w:r w:rsidRPr="00B03DF9">
              <w:rPr>
                <w:lang w:val="uk-UA" w:eastAsia="uk-UA"/>
              </w:rPr>
              <w:t>Первозванівське</w:t>
            </w:r>
            <w:proofErr w:type="spellEnd"/>
            <w:r w:rsidRPr="00B03DF9">
              <w:rPr>
                <w:lang w:val="uk-UA" w:eastAsia="uk-UA"/>
              </w:rPr>
              <w:t xml:space="preserve"> НВО», депутати сільської ради, актив села;</w:t>
            </w:r>
          </w:p>
          <w:p w:rsidR="00737D24" w:rsidRPr="00B03DF9" w:rsidRDefault="00737D24" w:rsidP="00C020C8">
            <w:pPr>
              <w:spacing w:line="240" w:lineRule="atLeast"/>
              <w:jc w:val="both"/>
              <w:rPr>
                <w:lang w:val="uk-UA" w:eastAsia="uk-UA"/>
              </w:rPr>
            </w:pPr>
            <w:proofErr w:type="spellStart"/>
            <w:r w:rsidRPr="00B03DF9">
              <w:rPr>
                <w:lang w:val="uk-UA" w:eastAsia="uk-UA"/>
              </w:rPr>
              <w:t>райсанепідем</w:t>
            </w:r>
            <w:proofErr w:type="spellEnd"/>
          </w:p>
          <w:p w:rsidR="00737D24" w:rsidRPr="00B03DF9" w:rsidRDefault="00737D24" w:rsidP="00C020C8">
            <w:pPr>
              <w:spacing w:line="240" w:lineRule="atLeast"/>
              <w:jc w:val="both"/>
              <w:rPr>
                <w:lang w:val="uk-UA" w:eastAsia="uk-UA"/>
              </w:rPr>
            </w:pPr>
            <w:r w:rsidRPr="00B03DF9">
              <w:rPr>
                <w:lang w:val="uk-UA" w:eastAsia="uk-UA"/>
              </w:rPr>
              <w:t>станція</w:t>
            </w:r>
          </w:p>
        </w:tc>
        <w:tc>
          <w:tcPr>
            <w:tcW w:w="1233"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2018-2019</w:t>
            </w:r>
          </w:p>
          <w:p w:rsidR="00737D24" w:rsidRPr="00B03DF9" w:rsidRDefault="00737D24" w:rsidP="00C020C8">
            <w:pPr>
              <w:spacing w:line="240" w:lineRule="atLeast"/>
              <w:jc w:val="both"/>
              <w:rPr>
                <w:lang w:val="uk-UA" w:eastAsia="uk-UA"/>
              </w:rPr>
            </w:pPr>
            <w:r w:rsidRPr="00B03DF9">
              <w:rPr>
                <w:lang w:val="uk-UA" w:eastAsia="uk-UA"/>
              </w:rPr>
              <w:t> </w:t>
            </w:r>
          </w:p>
        </w:tc>
        <w:tc>
          <w:tcPr>
            <w:tcW w:w="1602"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w:t>
            </w:r>
          </w:p>
        </w:tc>
        <w:tc>
          <w:tcPr>
            <w:tcW w:w="1559" w:type="dxa"/>
            <w:tcBorders>
              <w:top w:val="outset" w:sz="6" w:space="0" w:color="auto"/>
              <w:left w:val="outset" w:sz="6" w:space="0" w:color="auto"/>
              <w:bottom w:val="outset" w:sz="6" w:space="0" w:color="auto"/>
            </w:tcBorders>
          </w:tcPr>
          <w:p w:rsidR="00737D24" w:rsidRPr="00B03DF9" w:rsidRDefault="00737D24" w:rsidP="00C020C8">
            <w:pPr>
              <w:spacing w:line="240" w:lineRule="atLeast"/>
              <w:jc w:val="both"/>
              <w:rPr>
                <w:lang w:val="uk-UA" w:eastAsia="uk-UA"/>
              </w:rPr>
            </w:pPr>
            <w:r w:rsidRPr="00B03DF9">
              <w:rPr>
                <w:lang w:val="uk-UA" w:eastAsia="uk-UA"/>
              </w:rPr>
              <w:t>Державний бюджет</w:t>
            </w:r>
          </w:p>
          <w:p w:rsidR="00737D24" w:rsidRPr="00B03DF9" w:rsidRDefault="00737D24" w:rsidP="00C020C8">
            <w:pPr>
              <w:spacing w:line="240" w:lineRule="atLeast"/>
              <w:jc w:val="both"/>
              <w:rPr>
                <w:lang w:val="uk-UA" w:eastAsia="uk-UA"/>
              </w:rPr>
            </w:pPr>
            <w:r w:rsidRPr="00B03DF9">
              <w:rPr>
                <w:lang w:val="uk-UA" w:eastAsia="uk-UA"/>
              </w:rPr>
              <w:t> </w:t>
            </w:r>
          </w:p>
        </w:tc>
      </w:tr>
      <w:tr w:rsidR="00737D24" w:rsidRPr="00B03DF9" w:rsidTr="00C020C8">
        <w:trPr>
          <w:tblCellSpacing w:w="0" w:type="dxa"/>
        </w:trPr>
        <w:tc>
          <w:tcPr>
            <w:tcW w:w="4395" w:type="dxa"/>
            <w:tcBorders>
              <w:top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b/>
                <w:bCs/>
                <w:lang w:val="uk-UA" w:eastAsia="uk-UA"/>
              </w:rPr>
              <w:t>Всього</w:t>
            </w:r>
          </w:p>
        </w:tc>
        <w:tc>
          <w:tcPr>
            <w:tcW w:w="850"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b/>
                <w:bCs/>
                <w:lang w:val="uk-UA" w:eastAsia="uk-UA"/>
              </w:rPr>
              <w:t>*</w:t>
            </w:r>
          </w:p>
        </w:tc>
        <w:tc>
          <w:tcPr>
            <w:tcW w:w="1233"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b/>
                <w:bCs/>
                <w:lang w:val="uk-UA" w:eastAsia="uk-UA"/>
              </w:rPr>
              <w:t>*</w:t>
            </w:r>
          </w:p>
        </w:tc>
        <w:tc>
          <w:tcPr>
            <w:tcW w:w="1602" w:type="dxa"/>
            <w:tcBorders>
              <w:top w:val="outset" w:sz="6" w:space="0" w:color="auto"/>
              <w:left w:val="outset" w:sz="6" w:space="0" w:color="auto"/>
              <w:bottom w:val="outset" w:sz="6" w:space="0" w:color="auto"/>
              <w:right w:val="outset" w:sz="6" w:space="0" w:color="auto"/>
            </w:tcBorders>
          </w:tcPr>
          <w:p w:rsidR="00737D24" w:rsidRPr="00B03DF9" w:rsidRDefault="00737D24" w:rsidP="00C020C8">
            <w:pPr>
              <w:spacing w:line="240" w:lineRule="atLeast"/>
              <w:jc w:val="both"/>
              <w:rPr>
                <w:lang w:val="uk-UA" w:eastAsia="uk-UA"/>
              </w:rPr>
            </w:pPr>
            <w:r w:rsidRPr="00B03DF9">
              <w:rPr>
                <w:b/>
                <w:bCs/>
                <w:lang w:val="uk-UA" w:eastAsia="uk-UA"/>
              </w:rPr>
              <w:t>2,3</w:t>
            </w:r>
          </w:p>
        </w:tc>
        <w:tc>
          <w:tcPr>
            <w:tcW w:w="1559" w:type="dxa"/>
            <w:tcBorders>
              <w:top w:val="outset" w:sz="6" w:space="0" w:color="auto"/>
              <w:left w:val="outset" w:sz="6" w:space="0" w:color="auto"/>
              <w:bottom w:val="outset" w:sz="6" w:space="0" w:color="auto"/>
            </w:tcBorders>
          </w:tcPr>
          <w:p w:rsidR="00737D24" w:rsidRPr="00B03DF9" w:rsidRDefault="00737D24" w:rsidP="00C020C8">
            <w:pPr>
              <w:spacing w:line="240" w:lineRule="atLeast"/>
              <w:jc w:val="both"/>
              <w:rPr>
                <w:lang w:val="uk-UA" w:eastAsia="uk-UA"/>
              </w:rPr>
            </w:pPr>
            <w:r w:rsidRPr="00B03DF9">
              <w:rPr>
                <w:b/>
                <w:bCs/>
                <w:lang w:val="uk-UA" w:eastAsia="uk-UA"/>
              </w:rPr>
              <w:t>*</w:t>
            </w:r>
          </w:p>
        </w:tc>
      </w:tr>
    </w:tbl>
    <w:p w:rsidR="00737D24" w:rsidRPr="00B03DF9" w:rsidRDefault="00737D24" w:rsidP="00737D24">
      <w:pPr>
        <w:tabs>
          <w:tab w:val="left" w:pos="1485"/>
        </w:tabs>
        <w:contextualSpacing/>
        <w:jc w:val="both"/>
        <w:rPr>
          <w:sz w:val="28"/>
          <w:szCs w:val="28"/>
          <w:lang w:val="uk-UA"/>
        </w:rPr>
      </w:pPr>
    </w:p>
    <w:p w:rsidR="00737D24" w:rsidRPr="00B03DF9" w:rsidRDefault="00737D24" w:rsidP="00737D24">
      <w:pPr>
        <w:contextualSpacing/>
        <w:rPr>
          <w:sz w:val="28"/>
          <w:szCs w:val="28"/>
          <w:lang w:val="uk-UA"/>
        </w:rPr>
      </w:pPr>
    </w:p>
    <w:p w:rsidR="00737D24" w:rsidRPr="00B03DF9" w:rsidRDefault="00737D24" w:rsidP="00737D24">
      <w:pPr>
        <w:rPr>
          <w:lang w:val="uk-UA"/>
        </w:rPr>
      </w:pPr>
    </w:p>
    <w:p w:rsidR="007B4D3F" w:rsidRDefault="007B4D3F"/>
    <w:sectPr w:rsidR="007B4D3F" w:rsidSect="0089513A">
      <w:pgSz w:w="11906" w:h="16838"/>
      <w:pgMar w:top="850" w:right="850"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31"/>
    <w:rsid w:val="00737D24"/>
    <w:rsid w:val="007B4D3F"/>
    <w:rsid w:val="00CD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37D24"/>
    <w:pPr>
      <w:spacing w:before="100" w:beforeAutospacing="1" w:after="100" w:afterAutospacing="1"/>
    </w:pPr>
    <w:rPr>
      <w:lang w:val="uk-UA" w:eastAsia="uk-UA"/>
    </w:rPr>
  </w:style>
  <w:style w:type="character" w:styleId="a4">
    <w:name w:val="Emphasis"/>
    <w:qFormat/>
    <w:rsid w:val="00737D2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37D24"/>
    <w:pPr>
      <w:spacing w:before="100" w:beforeAutospacing="1" w:after="100" w:afterAutospacing="1"/>
    </w:pPr>
    <w:rPr>
      <w:lang w:val="uk-UA" w:eastAsia="uk-UA"/>
    </w:rPr>
  </w:style>
  <w:style w:type="character" w:styleId="a4">
    <w:name w:val="Emphasis"/>
    <w:qFormat/>
    <w:rsid w:val="00737D2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dc:creator>
  <cp:keywords/>
  <dc:description/>
  <cp:lastModifiedBy>3D</cp:lastModifiedBy>
  <cp:revision>2</cp:revision>
  <dcterms:created xsi:type="dcterms:W3CDTF">2018-05-14T10:41:00Z</dcterms:created>
  <dcterms:modified xsi:type="dcterms:W3CDTF">2018-05-14T10:41:00Z</dcterms:modified>
</cp:coreProperties>
</file>