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A" w:rsidRDefault="00B070DA" w:rsidP="008C4AEA">
      <w:pPr>
        <w:pStyle w:val="a5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2</w:t>
      </w:r>
    </w:p>
    <w:p w:rsidR="00B070DA" w:rsidRDefault="00B070DA" w:rsidP="008C4AEA">
      <w:pPr>
        <w:pStyle w:val="a4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рішення № 234</w:t>
      </w:r>
    </w:p>
    <w:p w:rsidR="00B070DA" w:rsidRDefault="00B070DA" w:rsidP="008C4AEA">
      <w:pPr>
        <w:pStyle w:val="a4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сьомої сесії восьмого скликання</w:t>
      </w:r>
    </w:p>
    <w:p w:rsidR="00B070DA" w:rsidRDefault="00B070DA" w:rsidP="008C4AEA">
      <w:pPr>
        <w:pStyle w:val="a4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 сільської ради</w:t>
      </w:r>
    </w:p>
    <w:p w:rsidR="00B070DA" w:rsidRDefault="00B070DA" w:rsidP="008C4AEA">
      <w:pPr>
        <w:pStyle w:val="a4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від 25.06.2018 року</w:t>
      </w:r>
    </w:p>
    <w:p w:rsidR="00B070DA" w:rsidRDefault="00B070DA" w:rsidP="008C4AEA">
      <w:pPr>
        <w:numPr>
          <w:ilvl w:val="0"/>
          <w:numId w:val="1"/>
        </w:numPr>
        <w:spacing w:after="100" w:afterAutospacing="1"/>
        <w:jc w:val="center"/>
        <w:outlineLvl w:val="2"/>
        <w:rPr>
          <w:b/>
          <w:bCs/>
          <w:color w:val="000000"/>
          <w:sz w:val="26"/>
          <w:szCs w:val="26"/>
          <w:vertAlign w:val="superscript"/>
          <w:lang w:val="ru-RU"/>
        </w:rPr>
      </w:pPr>
      <w:r>
        <w:rPr>
          <w:b/>
          <w:bCs/>
          <w:sz w:val="27"/>
          <w:szCs w:val="27"/>
          <w:lang w:val="ru-RU"/>
        </w:rPr>
        <w:t>ПЕРЕЛІК</w:t>
      </w:r>
      <w:r>
        <w:rPr>
          <w:b/>
          <w:bCs/>
          <w:sz w:val="27"/>
          <w:szCs w:val="27"/>
          <w:lang w:val="ru-RU"/>
        </w:rPr>
        <w:br/>
      </w:r>
      <w:r>
        <w:rPr>
          <w:b/>
          <w:bCs/>
          <w:color w:val="000000"/>
          <w:sz w:val="26"/>
          <w:szCs w:val="26"/>
          <w:lang w:val="ru-RU"/>
        </w:rPr>
        <w:t>пільг для фізичних та юридичних осіб, наданих відповідно до пункту 266.4.2 статті 266 Податкового кодексу України, із сплати на нерухоме майно відмінне від земельної ділянки</w:t>
      </w:r>
    </w:p>
    <w:p w:rsidR="00B070DA" w:rsidRDefault="00B070DA" w:rsidP="008C4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Пільги встановлюються на 2019 рік та вводяться в дію з 1 січня  2019 року.</w:t>
      </w:r>
    </w:p>
    <w:p w:rsidR="00B070DA" w:rsidRDefault="00B070DA" w:rsidP="008C4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1444"/>
        <w:gridCol w:w="1926"/>
        <w:gridCol w:w="4333"/>
      </w:tblGrid>
      <w:tr w:rsidR="00B070DA" w:rsidTr="008C4AEA">
        <w:tc>
          <w:tcPr>
            <w:tcW w:w="1000" w:type="pct"/>
          </w:tcPr>
          <w:p w:rsidR="00B070DA" w:rsidRDefault="00B070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області</w:t>
            </w:r>
          </w:p>
        </w:tc>
        <w:tc>
          <w:tcPr>
            <w:tcW w:w="750" w:type="pct"/>
          </w:tcPr>
          <w:p w:rsidR="00B070DA" w:rsidRDefault="00B070D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району</w:t>
            </w:r>
          </w:p>
        </w:tc>
        <w:tc>
          <w:tcPr>
            <w:tcW w:w="1000" w:type="pct"/>
          </w:tcPr>
          <w:p w:rsidR="00B070DA" w:rsidRDefault="00B070D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згідно з КОАТУУ</w:t>
            </w:r>
          </w:p>
        </w:tc>
        <w:tc>
          <w:tcPr>
            <w:tcW w:w="2250" w:type="pct"/>
          </w:tcPr>
          <w:p w:rsidR="00B070DA" w:rsidRDefault="00B070D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Найменування адміністративно-територіальної одиниці</w:t>
            </w:r>
            <w:r>
              <w:rPr>
                <w:sz w:val="24"/>
                <w:szCs w:val="24"/>
                <w:lang w:val="ru-RU"/>
              </w:rPr>
              <w:br/>
              <w:t>або населеного пункту, або території об'єднаної територіальної громади</w:t>
            </w:r>
          </w:p>
        </w:tc>
      </w:tr>
      <w:tr w:rsidR="00B070DA" w:rsidTr="008C4AEA">
        <w:tc>
          <w:tcPr>
            <w:tcW w:w="1000" w:type="pct"/>
          </w:tcPr>
          <w:p w:rsidR="00B070DA" w:rsidRDefault="00B070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0" w:type="pct"/>
          </w:tcPr>
          <w:p w:rsidR="00B070DA" w:rsidRDefault="00B070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1108</w:t>
            </w:r>
          </w:p>
        </w:tc>
        <w:tc>
          <w:tcPr>
            <w:tcW w:w="1000" w:type="pct"/>
          </w:tcPr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3522586602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3522586605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3522586603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3522586604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3522586604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3522583601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3522587401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3522587403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3522587601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3522587603</w:t>
            </w:r>
          </w:p>
          <w:p w:rsidR="00B070DA" w:rsidRDefault="00B070DA" w:rsidP="008C4AE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50" w:type="pct"/>
          </w:tcPr>
          <w:p w:rsidR="00B070DA" w:rsidRDefault="00B070DA" w:rsidP="008C4AE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Первозванівка</w:t>
            </w:r>
          </w:p>
          <w:p w:rsidR="00B070DA" w:rsidRDefault="00B070DA" w:rsidP="008C4AE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Неопалимівка</w:t>
            </w:r>
          </w:p>
          <w:p w:rsidR="00B070DA" w:rsidRDefault="00B070DA" w:rsidP="008C4AEA">
            <w:pPr>
              <w:pStyle w:val="a4"/>
              <w:tabs>
                <w:tab w:val="left" w:pos="131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Сонячне</w:t>
            </w:r>
          </w:p>
          <w:p w:rsidR="00B070DA" w:rsidRDefault="00B070DA" w:rsidP="008C4AEA">
            <w:pPr>
              <w:pStyle w:val="a4"/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            село Попівка</w:t>
            </w:r>
          </w:p>
          <w:p w:rsidR="00B070DA" w:rsidRDefault="00B070DA" w:rsidP="008C4AEA">
            <w:pPr>
              <w:pStyle w:val="a4"/>
              <w:tabs>
                <w:tab w:val="left" w:pos="130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Зоря 2</w:t>
            </w:r>
          </w:p>
          <w:p w:rsidR="00B070DA" w:rsidRDefault="00B070DA" w:rsidP="008C4AEA">
            <w:pPr>
              <w:pStyle w:val="a4"/>
              <w:tabs>
                <w:tab w:val="left" w:pos="130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Зоря</w:t>
            </w:r>
          </w:p>
          <w:p w:rsidR="00B070DA" w:rsidRDefault="00B070DA" w:rsidP="008C4AEA">
            <w:pPr>
              <w:pStyle w:val="a4"/>
              <w:tabs>
                <w:tab w:val="left" w:pos="124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Калинівка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Степове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Паращине Поле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Федорівка</w:t>
            </w:r>
          </w:p>
          <w:p w:rsidR="00B070DA" w:rsidRDefault="00B070D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село Миколаївські Сади </w:t>
            </w:r>
          </w:p>
          <w:p w:rsidR="00B070DA" w:rsidRDefault="00B070DA" w:rsidP="008C4AEA">
            <w:pPr>
              <w:pStyle w:val="a4"/>
              <w:spacing w:before="0" w:line="276" w:lineRule="auto"/>
              <w:ind w:firstLine="34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B070DA" w:rsidRDefault="00B070DA" w:rsidP="0098312C">
      <w:pPr>
        <w:shd w:val="clear" w:color="auto" w:fill="FFFFFF"/>
        <w:spacing w:after="150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</w:p>
    <w:p w:rsidR="00B070DA" w:rsidRPr="0098312C" w:rsidRDefault="00B070DA" w:rsidP="0098312C">
      <w:pPr>
        <w:shd w:val="clear" w:color="auto" w:fill="FFFFFF"/>
        <w:spacing w:after="150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r w:rsidRPr="0098312C">
        <w:rPr>
          <w:color w:val="000000"/>
          <w:sz w:val="24"/>
          <w:szCs w:val="24"/>
          <w:lang w:eastAsia="uk-UA"/>
        </w:rPr>
        <w:t>Пільги із сплати податку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" w:name="n11806"/>
      <w:bookmarkEnd w:id="1"/>
      <w:r>
        <w:rPr>
          <w:color w:val="000000"/>
          <w:sz w:val="24"/>
          <w:szCs w:val="24"/>
          <w:lang w:eastAsia="uk-UA"/>
        </w:rPr>
        <w:t>1.</w:t>
      </w:r>
      <w:r w:rsidRPr="0098312C">
        <w:rPr>
          <w:color w:val="000000"/>
          <w:sz w:val="24"/>
          <w:szCs w:val="24"/>
          <w:lang w:eastAsia="uk-UA"/>
        </w:rPr>
        <w:t xml:space="preserve">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2" w:name="n11807"/>
      <w:bookmarkEnd w:id="2"/>
      <w:r w:rsidRPr="0098312C">
        <w:rPr>
          <w:color w:val="000000"/>
          <w:sz w:val="24"/>
          <w:szCs w:val="24"/>
          <w:lang w:eastAsia="uk-UA"/>
        </w:rPr>
        <w:t>а) для квартири/квартир незалежно від їх кількості - на 60 кв. метрів;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3" w:name="n11808"/>
      <w:bookmarkEnd w:id="3"/>
      <w:r w:rsidRPr="0098312C">
        <w:rPr>
          <w:color w:val="000000"/>
          <w:sz w:val="24"/>
          <w:szCs w:val="24"/>
          <w:lang w:eastAsia="uk-UA"/>
        </w:rPr>
        <w:t>б) для житлового будинку/будинків незалежно від їх кількості - на 120 кв. метрів;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4" w:name="n11809"/>
      <w:bookmarkEnd w:id="4"/>
      <w:r w:rsidRPr="0098312C">
        <w:rPr>
          <w:color w:val="000000"/>
          <w:sz w:val="24"/>
          <w:szCs w:val="24"/>
          <w:lang w:eastAsia="uk-UA"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5" w:name="n11810"/>
      <w:bookmarkEnd w:id="5"/>
      <w:r w:rsidRPr="0098312C">
        <w:rPr>
          <w:color w:val="000000"/>
          <w:sz w:val="24"/>
          <w:szCs w:val="24"/>
          <w:lang w:eastAsia="uk-UA"/>
        </w:rPr>
        <w:t>Таке зменшення надається один раз за кожний базовий податковий (звітний) період (рік).</w:t>
      </w:r>
      <w:bookmarkStart w:id="6" w:name="n11811"/>
      <w:bookmarkEnd w:id="6"/>
    </w:p>
    <w:p w:rsidR="00B070DA" w:rsidRPr="0098312C" w:rsidRDefault="00B070DA" w:rsidP="0098312C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7" w:name="n11812"/>
      <w:bookmarkEnd w:id="7"/>
      <w:r>
        <w:rPr>
          <w:color w:val="000000"/>
          <w:sz w:val="24"/>
          <w:szCs w:val="24"/>
          <w:lang w:eastAsia="uk-UA"/>
        </w:rPr>
        <w:t xml:space="preserve">        </w:t>
      </w:r>
      <w:r w:rsidRPr="0098312C">
        <w:rPr>
          <w:color w:val="000000"/>
          <w:sz w:val="24"/>
          <w:szCs w:val="24"/>
          <w:lang w:eastAsia="uk-UA"/>
        </w:rPr>
        <w:t>2. Сільські,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встановлюють пільги з податку, що сплачується на відповідній території, з об’єктів житлової та/або нежитлової нерухомості, що перебувають у власності фізичних або юридичних осіб, громадських об’єднань, благодійних організацій,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8" w:name="n11813"/>
      <w:bookmarkEnd w:id="8"/>
      <w:r w:rsidRPr="0098312C">
        <w:rPr>
          <w:color w:val="000000"/>
          <w:sz w:val="24"/>
          <w:szCs w:val="24"/>
          <w:lang w:eastAsia="uk-UA"/>
        </w:rPr>
        <w:t>Пільги з податку, що сплачується на відповідній території з об’єктів житлової та нежитлової нерухомості, для фізичних осіб визначаються виходячи з їх майнового стану та рівня доходів.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9" w:name="n11816"/>
      <w:bookmarkEnd w:id="9"/>
      <w:r w:rsidRPr="0098312C">
        <w:rPr>
          <w:color w:val="000000"/>
          <w:sz w:val="24"/>
          <w:szCs w:val="24"/>
          <w:lang w:eastAsia="uk-UA"/>
        </w:rPr>
        <w:t>Пільги з податку, що сплачується на відповідній території з об’єктів нежитлової нерухомості, встановлюються залежно від майна, яке є об’єктом оподаткування.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0" w:name="n11817"/>
      <w:bookmarkStart w:id="11" w:name="n14370"/>
      <w:bookmarkEnd w:id="10"/>
      <w:bookmarkEnd w:id="11"/>
      <w:r w:rsidRPr="0098312C">
        <w:rPr>
          <w:color w:val="000000"/>
          <w:sz w:val="24"/>
          <w:szCs w:val="24"/>
          <w:lang w:eastAsia="uk-UA"/>
        </w:rPr>
        <w:t>3. Пільги з податку, передбачені </w:t>
      </w:r>
      <w:hyperlink r:id="rId5" w:anchor="n11806" w:history="1">
        <w:r w:rsidRPr="0098312C">
          <w:rPr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підпунктами 266.4.1</w:t>
        </w:r>
      </w:hyperlink>
      <w:r w:rsidRPr="0098312C">
        <w:rPr>
          <w:color w:val="000000"/>
          <w:sz w:val="24"/>
          <w:szCs w:val="24"/>
          <w:lang w:eastAsia="uk-UA"/>
        </w:rPr>
        <w:t> та </w:t>
      </w:r>
      <w:hyperlink r:id="rId6" w:anchor="n11812" w:history="1">
        <w:r w:rsidRPr="0098312C">
          <w:rPr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266.4.2</w:t>
        </w:r>
      </w:hyperlink>
      <w:r w:rsidRPr="0098312C">
        <w:rPr>
          <w:color w:val="000000"/>
          <w:sz w:val="24"/>
          <w:szCs w:val="24"/>
          <w:lang w:eastAsia="uk-UA"/>
        </w:rPr>
        <w:t> цього пункту, для фізичних осіб не застосовуються до: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2" w:name="n14371"/>
      <w:bookmarkEnd w:id="12"/>
      <w:r w:rsidRPr="0098312C">
        <w:rPr>
          <w:color w:val="000000"/>
          <w:sz w:val="24"/>
          <w:szCs w:val="24"/>
          <w:lang w:eastAsia="uk-UA"/>
        </w:rPr>
        <w:lastRenderedPageBreak/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цього пункту;</w:t>
      </w:r>
    </w:p>
    <w:p w:rsidR="00B070DA" w:rsidRPr="0098312C" w:rsidRDefault="00B070DA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3" w:name="n14372"/>
      <w:bookmarkEnd w:id="13"/>
      <w:r w:rsidRPr="0098312C">
        <w:rPr>
          <w:color w:val="000000"/>
          <w:sz w:val="24"/>
          <w:szCs w:val="24"/>
          <w:lang w:eastAsia="uk-UA"/>
        </w:rPr>
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B070DA" w:rsidRDefault="00B070DA" w:rsidP="008C4AEA">
      <w:pPr>
        <w:jc w:val="both"/>
        <w:rPr>
          <w:sz w:val="24"/>
          <w:szCs w:val="24"/>
        </w:rPr>
      </w:pPr>
      <w:bookmarkStart w:id="14" w:name="n14369"/>
      <w:bookmarkEnd w:id="14"/>
    </w:p>
    <w:sectPr w:rsidR="00B070DA" w:rsidSect="00B63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orbel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3DB9"/>
    <w:multiLevelType w:val="multilevel"/>
    <w:tmpl w:val="D48A696C"/>
    <w:lvl w:ilvl="0">
      <w:start w:val="1"/>
      <w:numFmt w:val="none"/>
      <w:pStyle w:val="3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40"/>
        <w:w w:val="10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isLgl/>
      <w:lvlText w:val="%1%2."/>
      <w:lvlJc w:val="left"/>
      <w:pPr>
        <w:tabs>
          <w:tab w:val="num" w:pos="1063"/>
        </w:tabs>
        <w:ind w:firstLine="70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791"/>
        </w:tabs>
        <w:ind w:left="791" w:hanging="431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063"/>
        </w:tabs>
        <w:ind w:left="703"/>
      </w:pPr>
      <w:rPr>
        <w:rFonts w:ascii="Symbol" w:hAnsi="Symbol" w:hint="default"/>
        <w:color w:val="auto"/>
        <w:sz w:val="28"/>
      </w:rPr>
    </w:lvl>
    <w:lvl w:ilvl="4">
      <w:start w:val="1"/>
      <w:numFmt w:val="none"/>
      <w:lvlText w:val="%5"/>
      <w:lvlJc w:val="left"/>
      <w:pPr>
        <w:tabs>
          <w:tab w:val="num" w:pos="1381"/>
        </w:tabs>
        <w:ind w:firstLine="1021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%1%8.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FB"/>
    <w:rsid w:val="00034ADA"/>
    <w:rsid w:val="001C79D5"/>
    <w:rsid w:val="00234247"/>
    <w:rsid w:val="002C14AE"/>
    <w:rsid w:val="003634E9"/>
    <w:rsid w:val="003A419A"/>
    <w:rsid w:val="003F0727"/>
    <w:rsid w:val="00495F9B"/>
    <w:rsid w:val="005819E1"/>
    <w:rsid w:val="00735AFB"/>
    <w:rsid w:val="007B2BF8"/>
    <w:rsid w:val="008144D9"/>
    <w:rsid w:val="0082162B"/>
    <w:rsid w:val="008C4AEA"/>
    <w:rsid w:val="0098312C"/>
    <w:rsid w:val="00B070DA"/>
    <w:rsid w:val="00B306F3"/>
    <w:rsid w:val="00B634E6"/>
    <w:rsid w:val="00D45B50"/>
    <w:rsid w:val="00DA053D"/>
    <w:rsid w:val="00E12F22"/>
    <w:rsid w:val="00E15943"/>
    <w:rsid w:val="00F545FA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0DFBF43-EE5F-F34E-BC58-537556D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EA"/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C4A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4"/>
    <w:link w:val="30"/>
    <w:autoRedefine/>
    <w:uiPriority w:val="99"/>
    <w:qFormat/>
    <w:rsid w:val="008C4AEA"/>
    <w:pPr>
      <w:keepLines w:val="0"/>
      <w:widowControl w:val="0"/>
      <w:numPr>
        <w:numId w:val="1"/>
      </w:numPr>
      <w:tabs>
        <w:tab w:val="left" w:pos="0"/>
      </w:tabs>
      <w:spacing w:before="0"/>
      <w:jc w:val="center"/>
      <w:outlineLvl w:val="2"/>
    </w:pPr>
    <w:rPr>
      <w:rFonts w:ascii="Times New Roman" w:hAnsi="Times New Roman"/>
      <w:b w:val="0"/>
      <w:bCs w:val="0"/>
      <w:caps/>
      <w:color w:val="auto"/>
      <w:spacing w:val="40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C4AE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4A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EA"/>
    <w:rPr>
      <w:rFonts w:cs="Times New Roman"/>
      <w:caps/>
      <w:spacing w:val="4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EA"/>
    <w:rPr>
      <w:rFonts w:ascii="Cambria" w:hAnsi="Cambria" w:cs="Times New Roman"/>
      <w:b/>
      <w:bCs/>
      <w:i/>
      <w:iCs/>
      <w:color w:val="4F81BD"/>
      <w:sz w:val="28"/>
      <w:lang w:eastAsia="ru-RU"/>
    </w:rPr>
  </w:style>
  <w:style w:type="paragraph" w:styleId="a3">
    <w:name w:val="List Paragraph"/>
    <w:basedOn w:val="a"/>
    <w:uiPriority w:val="99"/>
    <w:qFormat/>
    <w:rsid w:val="008C4AEA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8C4AEA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uiPriority w:val="99"/>
    <w:rsid w:val="008C4AEA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zakon2.rada.gov.ua/laws/show/2755-17/paran6392" TargetMode="External" /><Relationship Id="rId5" Type="http://schemas.openxmlformats.org/officeDocument/2006/relationships/hyperlink" Target="http://zakon2.rada.gov.ua/laws/show/2755-17/paran6392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cp:lastPrinted>2018-08-08T13:08:00Z</cp:lastPrinted>
  <dcterms:created xsi:type="dcterms:W3CDTF">2019-01-24T08:32:00Z</dcterms:created>
  <dcterms:modified xsi:type="dcterms:W3CDTF">2019-01-24T08:32:00Z</dcterms:modified>
</cp:coreProperties>
</file>