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0C146A"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val="uk-UA" w:eastAsia="ru-RU"/>
        </w:rPr>
        <w:t>Детінізація трудових відносин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bdr w:val="none" w:sz="0" w:space="0" w:color="auto" w:frame="1"/>
          <w:lang w:eastAsia="ru-RU"/>
        </w:rPr>
      </w:pP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вересня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Уряд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ухвалив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„Про заходи,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детінізацію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відносин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зайнятості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”,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Державною службою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Державною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фіскальною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службою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Пенсійним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фондом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Національною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поліцією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центральними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органами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виконавчої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спільно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органами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комплексних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детінізацію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ринку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оформленням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відносин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найманими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Розпорядженням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посилення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координації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питаннях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роз’яснювальної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фактів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незадекларованої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перегляд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виконавчої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до них з метою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посилення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оформленням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відносин</w:t>
      </w:r>
      <w:proofErr w:type="spellEnd"/>
      <w:r w:rsidRPr="000C146A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центральним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органам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доручено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щомісяця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10-го числа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Держслужбу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проведену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роботу для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узагальнення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передачі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Кабмін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місяця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до початку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перевірок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перераховані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інформаційно-роз'яснювальну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кампанію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заплановані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заходи і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неприпустимість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допуску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найманих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ними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відносин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Нагадуємо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суб’єктам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міста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Мукачева,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відносини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роботодавця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розпочинаються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укладання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трудового договору,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оформляється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розпорядженням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власника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ним органу,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центрального органу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виконавчої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влади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адміністрування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загальнообов’язкове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соціальне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 роботу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 роботу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власником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підприємства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установи,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уповноваженим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ним органом (особою)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фізичною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особою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територіальних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фіскальної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платника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загальнообов’язкове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соціальне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 формою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додатком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початку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укладеним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трудовим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договором одним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:</w:t>
      </w:r>
    </w:p>
    <w:p w:rsidR="000C146A" w:rsidRPr="000C146A" w:rsidRDefault="000C146A" w:rsidP="000C146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засобами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цифрового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підпису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відповідальних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документообігу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підпису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;</w:t>
      </w:r>
    </w:p>
    <w:p w:rsidR="000C146A" w:rsidRPr="000C146A" w:rsidRDefault="000C146A" w:rsidP="000C146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паперових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носіях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разом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копією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електронній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;</w:t>
      </w:r>
    </w:p>
    <w:p w:rsidR="000C146A" w:rsidRPr="000C146A" w:rsidRDefault="000C146A" w:rsidP="000C146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паперових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носіях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договори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укладено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п’ятьма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особами.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ЗВЕРТАЄМО УВАГУ,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юридичні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фізичні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особи –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підприємці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найману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працю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несуть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фінансову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у таких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розмірах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:</w:t>
      </w:r>
    </w:p>
    <w:p w:rsidR="000C146A" w:rsidRPr="000C146A" w:rsidRDefault="000C146A" w:rsidP="000C14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1)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30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мінімальних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</w:t>
      </w: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за кожного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111690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мінімальна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зарплата 3723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:</w:t>
      </w:r>
    </w:p>
    <w:p w:rsidR="000C146A" w:rsidRPr="000C146A" w:rsidRDefault="000C146A" w:rsidP="000C146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фактичного допуску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трудового договору</w:t>
      </w:r>
    </w:p>
    <w:p w:rsidR="000C146A" w:rsidRPr="000C146A" w:rsidRDefault="000C146A" w:rsidP="000C146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lastRenderedPageBreak/>
        <w:t>оформлення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неповний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робочий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час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фактичного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робочий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час;</w:t>
      </w:r>
    </w:p>
    <w:p w:rsidR="000C146A" w:rsidRPr="000C146A" w:rsidRDefault="000C146A" w:rsidP="000C146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виплату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плати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винагороди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без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нарахування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єдиного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;</w:t>
      </w:r>
    </w:p>
    <w:p w:rsidR="000C146A" w:rsidRPr="000C146A" w:rsidRDefault="000C146A" w:rsidP="000C14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2)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10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мінімальних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</w:t>
      </w: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 за кожного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(при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мінімальній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зарплаті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недотримання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мінімальних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гарантій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оплаті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 оплату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нічний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час, роботу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вихідний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святковий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день,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понадурочну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роботу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оплати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);</w:t>
      </w:r>
    </w:p>
    <w:p w:rsidR="000C146A" w:rsidRPr="000C146A" w:rsidRDefault="000C146A" w:rsidP="000C14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3)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мінімальні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зарплати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–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11169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(при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мінімальній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зарплаті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види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:</w:t>
      </w:r>
    </w:p>
    <w:p w:rsidR="000C146A" w:rsidRPr="000C146A" w:rsidRDefault="000C146A" w:rsidP="000C146A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встановлених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строків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виплати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плати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виплат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як за один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місяць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виплата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не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обсязі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4)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10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мінімальних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зарплат, за кожного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-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мінімальна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зарплата 3723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недотримання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встановлених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законом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гарантій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пільг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залучаються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законами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військовий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обов’язок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військову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службу», «Про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альтернативну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невійськову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службу», «Про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мобілізаційну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підготовку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мобілізацію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».</w:t>
      </w:r>
    </w:p>
    <w:p w:rsidR="000C146A" w:rsidRPr="000C146A" w:rsidRDefault="000C146A" w:rsidP="000C14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ru-RU"/>
        </w:rPr>
        <w:t>5)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мінімальна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зарплата</w:t>
      </w: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 (3723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підприємству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приділити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велику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правильного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оформлення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 роботу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 </w:t>
      </w:r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можливе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визнання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недійсного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наказу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підприємству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загрожує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штраф у 111690 грн.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наказ оформлений правильно, але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підприємство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несвоєчасно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повідомило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фіскальну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службу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 роботу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коштуватиме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підприємству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 грн.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Фінансові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штрафи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накладати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начальник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Держпраці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заступники,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керівниками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виконавчих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міських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рад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міст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обласного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значення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сільських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селищних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міських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рад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об’єднаних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територіальних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громад та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заступниками 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винесених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постанов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ході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планової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позапланової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роботодавця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постанов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покладається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Державну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виконавчу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службу.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Інспектори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позбавлені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оформляють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акти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описом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статтею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41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КУпАП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адміністративну</w:t>
      </w:r>
      <w:proofErr w:type="spellEnd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 на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підприємства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8500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17000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фактичний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допуск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без трудового договору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Отже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фактичний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допуск одного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без трудового договору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(без наказу)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коштувати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128690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(111690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+ 17000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+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виплата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такому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працівникові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плати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розмірі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заробітної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відповідним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видом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економічної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регіоні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відповідному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періоді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.</w:t>
      </w:r>
    </w:p>
    <w:p w:rsidR="000C146A" w:rsidRPr="000C146A" w:rsidRDefault="000C146A" w:rsidP="000C146A">
      <w:pPr>
        <w:shd w:val="clear" w:color="auto" w:fill="FFFFFF"/>
        <w:spacing w:after="0" w:line="306" w:lineRule="atLeast"/>
        <w:ind w:firstLine="709"/>
        <w:jc w:val="both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направлення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фіскальної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служби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 роботу</w:t>
      </w:r>
      <w:proofErr w:type="gram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несвоєчасне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направлення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коштує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3723 грн.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фінансового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штрафу і до 1 700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>адміністративного</w:t>
      </w:r>
      <w:proofErr w:type="spellEnd"/>
      <w:r w:rsidRPr="000C146A">
        <w:rPr>
          <w:rFonts w:ascii="Times New Roman" w:eastAsia="Times New Roman" w:hAnsi="Times New Roman" w:cs="Times New Roman"/>
          <w:color w:val="232B30"/>
          <w:sz w:val="28"/>
          <w:szCs w:val="28"/>
          <w:bdr w:val="none" w:sz="0" w:space="0" w:color="auto" w:frame="1"/>
          <w:lang w:eastAsia="ru-RU"/>
        </w:rPr>
        <w:t xml:space="preserve"> штрафу.</w:t>
      </w:r>
    </w:p>
    <w:p w:rsidR="00134DFF" w:rsidRPr="000C146A" w:rsidRDefault="00584C00">
      <w:pPr>
        <w:rPr>
          <w:rFonts w:ascii="Times New Roman" w:hAnsi="Times New Roman" w:cs="Times New Roman"/>
          <w:sz w:val="28"/>
          <w:szCs w:val="28"/>
        </w:rPr>
      </w:pPr>
    </w:p>
    <w:sectPr w:rsidR="00134DFF" w:rsidRPr="000C146A" w:rsidSect="000C14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23F2"/>
    <w:multiLevelType w:val="multilevel"/>
    <w:tmpl w:val="59A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300B6"/>
    <w:multiLevelType w:val="multilevel"/>
    <w:tmpl w:val="D1DEAD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D0137"/>
    <w:multiLevelType w:val="multilevel"/>
    <w:tmpl w:val="76446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40478"/>
    <w:multiLevelType w:val="multilevel"/>
    <w:tmpl w:val="4B28C5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D591F"/>
    <w:multiLevelType w:val="multilevel"/>
    <w:tmpl w:val="901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026CE"/>
    <w:multiLevelType w:val="multilevel"/>
    <w:tmpl w:val="B4D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E"/>
    <w:rsid w:val="000C146A"/>
    <w:rsid w:val="0021751E"/>
    <w:rsid w:val="003D201D"/>
    <w:rsid w:val="00584C00"/>
    <w:rsid w:val="005B3ECC"/>
    <w:rsid w:val="00D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1C50-56BD-4AC6-B0B8-701C0F7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015">
                  <w:marLeft w:val="0"/>
                  <w:marRight w:val="0"/>
                  <w:marTop w:val="0"/>
                  <w:marBottom w:val="0"/>
                  <w:divBdr>
                    <w:top w:val="single" w:sz="6" w:space="30" w:color="E6E9EB"/>
                    <w:left w:val="none" w:sz="0" w:space="31" w:color="auto"/>
                    <w:bottom w:val="single" w:sz="6" w:space="30" w:color="E6E9EB"/>
                    <w:right w:val="none" w:sz="0" w:space="15" w:color="auto"/>
                  </w:divBdr>
                </w:div>
              </w:divsChild>
            </w:div>
          </w:divsChild>
        </w:div>
        <w:div w:id="13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6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37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5325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0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EED"/>
                                        <w:left w:val="single" w:sz="6" w:space="0" w:color="D5DEED"/>
                                        <w:bottom w:val="none" w:sz="0" w:space="0" w:color="auto"/>
                                        <w:right w:val="single" w:sz="6" w:space="0" w:color="D5DEED"/>
                                      </w:divBdr>
                                      <w:divsChild>
                                        <w:div w:id="68768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870</Words>
  <Characters>4960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2018-11-23T09:47:00Z</dcterms:created>
  <dcterms:modified xsi:type="dcterms:W3CDTF">2018-11-23T10:22:00Z</dcterms:modified>
</cp:coreProperties>
</file>