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18" w:rsidRPr="00310384" w:rsidRDefault="006D353F" w:rsidP="00306147">
      <w:pPr>
        <w:jc w:val="center"/>
        <w:rPr>
          <w:rFonts w:ascii="Times New Roman" w:hAnsi="Times New Roman"/>
          <w:i/>
          <w:noProof/>
          <w:color w:val="FF0000"/>
          <w:sz w:val="28"/>
          <w:szCs w:val="28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  <w:lang w:val="ru-RU"/>
        </w:rPr>
        <w:drawing>
          <wp:inline distT="0" distB="0" distL="0" distR="0">
            <wp:extent cx="464820" cy="6096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18" w:rsidRPr="00310384" w:rsidRDefault="000B3118" w:rsidP="0030614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310384">
        <w:rPr>
          <w:rFonts w:ascii="Times New Roman" w:hAnsi="Times New Roman"/>
          <w:b/>
          <w:bCs/>
          <w:noProof/>
          <w:sz w:val="28"/>
          <w:szCs w:val="28"/>
        </w:rPr>
        <w:t>УКРАЇНА</w:t>
      </w:r>
    </w:p>
    <w:p w:rsidR="000B3118" w:rsidRPr="00310384" w:rsidRDefault="000B3118" w:rsidP="00306147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310384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ПОКРОВСЬКИЙ ЗАКЛАД ДОШКІЛЬНОЇ ОСВІТИ</w:t>
      </w:r>
    </w:p>
    <w:p w:rsidR="000B3118" w:rsidRPr="00310384" w:rsidRDefault="000B3118" w:rsidP="00306147">
      <w:pPr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310384">
        <w:rPr>
          <w:rFonts w:ascii="Times New Roman" w:hAnsi="Times New Roman"/>
          <w:b/>
          <w:bCs/>
          <w:noProof/>
          <w:sz w:val="28"/>
          <w:szCs w:val="28"/>
        </w:rPr>
        <w:t xml:space="preserve">    ЗАГАЛЬНОГО ТИПУ „СОНЕЧКО”</w:t>
      </w:r>
    </w:p>
    <w:p w:rsidR="000B3118" w:rsidRPr="00310384" w:rsidRDefault="000B3118" w:rsidP="00306147">
      <w:pPr>
        <w:jc w:val="center"/>
        <w:rPr>
          <w:rFonts w:ascii="Times New Roman" w:hAnsi="Times New Roman"/>
          <w:b/>
          <w:bCs/>
          <w:noProof/>
          <w:sz w:val="28"/>
          <w:szCs w:val="28"/>
          <w:u w:val="single"/>
        </w:rPr>
      </w:pPr>
      <w:r w:rsidRPr="00310384">
        <w:rPr>
          <w:rFonts w:ascii="Times New Roman" w:hAnsi="Times New Roman"/>
          <w:i/>
          <w:iCs/>
          <w:noProof/>
          <w:sz w:val="28"/>
          <w:szCs w:val="28"/>
        </w:rPr>
        <w:t>провулок.Миру 15,с.Покровське,Кропивницького району,Кіровоградської області, 27650 ,тел0507218955,</w:t>
      </w:r>
      <w:r w:rsidRPr="00310384">
        <w:rPr>
          <w:rFonts w:ascii="Times New Roman" w:hAnsi="Times New Roman"/>
          <w:i/>
          <w:iCs/>
          <w:noProof/>
          <w:sz w:val="28"/>
          <w:szCs w:val="28"/>
          <w:lang w:val="en-US"/>
        </w:rPr>
        <w:t>e</w:t>
      </w:r>
      <w:r w:rsidRPr="00310384">
        <w:rPr>
          <w:rFonts w:ascii="Times New Roman" w:hAnsi="Times New Roman"/>
          <w:i/>
          <w:iCs/>
          <w:noProof/>
          <w:sz w:val="28"/>
          <w:szCs w:val="28"/>
        </w:rPr>
        <w:t>-</w:t>
      </w:r>
      <w:r w:rsidRPr="00310384">
        <w:rPr>
          <w:rFonts w:ascii="Times New Roman" w:hAnsi="Times New Roman"/>
          <w:i/>
          <w:iCs/>
          <w:noProof/>
          <w:sz w:val="28"/>
          <w:szCs w:val="28"/>
          <w:lang w:val="en-US"/>
        </w:rPr>
        <w:t>mai</w:t>
      </w:r>
      <w:r w:rsidRPr="00310384">
        <w:rPr>
          <w:rFonts w:ascii="Times New Roman" w:hAnsi="Times New Roman"/>
          <w:i/>
          <w:iCs/>
          <w:noProof/>
          <w:sz w:val="28"/>
          <w:szCs w:val="28"/>
        </w:rPr>
        <w:t xml:space="preserve">: </w:t>
      </w:r>
      <w:r w:rsidRPr="00310384">
        <w:rPr>
          <w:rFonts w:ascii="Times New Roman" w:hAnsi="Times New Roman"/>
          <w:i/>
          <w:iCs/>
          <w:noProof/>
          <w:sz w:val="28"/>
          <w:szCs w:val="28"/>
          <w:lang w:val="en-US"/>
        </w:rPr>
        <w:t>milenina</w:t>
      </w:r>
      <w:r w:rsidRPr="00310384">
        <w:rPr>
          <w:rFonts w:ascii="Times New Roman" w:hAnsi="Times New Roman"/>
          <w:i/>
          <w:iCs/>
          <w:noProof/>
          <w:sz w:val="28"/>
          <w:szCs w:val="28"/>
        </w:rPr>
        <w:t>65@</w:t>
      </w:r>
      <w:r w:rsidRPr="00310384">
        <w:rPr>
          <w:rFonts w:ascii="Times New Roman" w:hAnsi="Times New Roman"/>
          <w:i/>
          <w:iCs/>
          <w:noProof/>
          <w:sz w:val="28"/>
          <w:szCs w:val="28"/>
          <w:lang w:val="en-US"/>
        </w:rPr>
        <w:t>ukr</w:t>
      </w:r>
      <w:r w:rsidRPr="00310384">
        <w:rPr>
          <w:rFonts w:ascii="Times New Roman" w:hAnsi="Times New Roman"/>
          <w:i/>
          <w:iCs/>
          <w:noProof/>
          <w:sz w:val="28"/>
          <w:szCs w:val="28"/>
        </w:rPr>
        <w:t>.</w:t>
      </w:r>
      <w:r w:rsidRPr="00310384">
        <w:rPr>
          <w:rFonts w:ascii="Times New Roman" w:hAnsi="Times New Roman"/>
          <w:i/>
          <w:iCs/>
          <w:noProof/>
          <w:sz w:val="28"/>
          <w:szCs w:val="28"/>
          <w:lang w:val="en-US"/>
        </w:rPr>
        <w:t>net</w:t>
      </w:r>
    </w:p>
    <w:p w:rsidR="000B3118" w:rsidRPr="00310384" w:rsidRDefault="000B3118" w:rsidP="00306147">
      <w:pPr>
        <w:rPr>
          <w:rFonts w:ascii="Times New Roman" w:hAnsi="Times New Roman"/>
          <w:bCs/>
          <w:iCs/>
          <w:noProof/>
          <w:sz w:val="28"/>
          <w:szCs w:val="28"/>
        </w:rPr>
      </w:pPr>
      <w:r w:rsidRPr="00310384">
        <w:rPr>
          <w:rFonts w:ascii="Times New Roman" w:hAnsi="Times New Roman"/>
          <w:b/>
          <w:bCs/>
          <w:i/>
          <w:iCs/>
          <w:noProof/>
          <w:sz w:val="28"/>
          <w:szCs w:val="28"/>
        </w:rPr>
        <w:t>__________________________________________________________________</w:t>
      </w:r>
    </w:p>
    <w:p w:rsidR="000B3118" w:rsidRPr="00310384" w:rsidRDefault="000B3118" w:rsidP="00306147">
      <w:pPr>
        <w:rPr>
          <w:rFonts w:ascii="Times New Roman" w:hAnsi="Times New Roman"/>
          <w:bCs/>
          <w:noProof/>
          <w:sz w:val="28"/>
          <w:szCs w:val="28"/>
          <w:u w:val="single"/>
        </w:rPr>
      </w:pPr>
      <w:r>
        <w:rPr>
          <w:rFonts w:ascii="Times New Roman" w:hAnsi="Times New Roman"/>
          <w:bCs/>
          <w:noProof/>
          <w:sz w:val="28"/>
          <w:szCs w:val="28"/>
          <w:u w:val="single"/>
        </w:rPr>
        <w:t>21 вересня 2021року № 23</w:t>
      </w:r>
    </w:p>
    <w:p w:rsidR="000B3118" w:rsidRPr="008B7300" w:rsidRDefault="000B3118" w:rsidP="00306147">
      <w:pPr>
        <w:pStyle w:val="ShapkaDocumentu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0B3118" w:rsidRPr="008B7300" w:rsidRDefault="000B3118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0A0"/>
      </w:tblPr>
      <w:tblGrid>
        <w:gridCol w:w="674"/>
        <w:gridCol w:w="6834"/>
        <w:gridCol w:w="2412"/>
      </w:tblGrid>
      <w:tr w:rsidR="000B3118" w:rsidRPr="008B7300" w:rsidTr="00FA2362">
        <w:tc>
          <w:tcPr>
            <w:tcW w:w="9920" w:type="dxa"/>
            <w:gridSpan w:val="3"/>
            <w:vAlign w:val="center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0B3118" w:rsidRPr="008B7300" w:rsidTr="00FA2362">
        <w:tc>
          <w:tcPr>
            <w:tcW w:w="674" w:type="dxa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B3118" w:rsidRPr="004D3439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Дата проведення обстеження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    21.09.2021</w:t>
            </w:r>
          </w:p>
        </w:tc>
        <w:tc>
          <w:tcPr>
            <w:tcW w:w="2412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c>
          <w:tcPr>
            <w:tcW w:w="674" w:type="dxa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B3118" w:rsidRPr="004D3439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Адреса розташування об’єкта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С.Покровське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провулок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Миру,15</w:t>
            </w:r>
          </w:p>
        </w:tc>
        <w:tc>
          <w:tcPr>
            <w:tcW w:w="2412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c>
          <w:tcPr>
            <w:tcW w:w="674" w:type="dxa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B3118" w:rsidRPr="004D3439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власності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-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Комунальна</w:t>
            </w:r>
            <w:proofErr w:type="spellEnd"/>
          </w:p>
        </w:tc>
        <w:tc>
          <w:tcPr>
            <w:tcW w:w="2412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c>
          <w:tcPr>
            <w:tcW w:w="674" w:type="dxa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B3118" w:rsidRPr="008B7300" w:rsidRDefault="000B3118" w:rsidP="00072B41">
            <w:pPr>
              <w:tabs>
                <w:tab w:val="left" w:pos="3840"/>
              </w:tabs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Найменування послуги</w:t>
            </w:r>
            <w:r w:rsidR="00072B41">
              <w:rPr>
                <w:rFonts w:ascii="Times New Roman" w:hAnsi="Times New Roman"/>
                <w:sz w:val="28"/>
                <w:szCs w:val="28"/>
              </w:rPr>
              <w:tab/>
              <w:t>освітня</w:t>
            </w:r>
          </w:p>
        </w:tc>
        <w:tc>
          <w:tcPr>
            <w:tcW w:w="2412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c>
          <w:tcPr>
            <w:tcW w:w="674" w:type="dxa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B3118" w:rsidRPr="004D3439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Особа, яка проводила обстеження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Мілєніна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2412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c>
          <w:tcPr>
            <w:tcW w:w="674" w:type="dxa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адреса електронної пошти) -0507218955</w:t>
            </w:r>
          </w:p>
        </w:tc>
        <w:tc>
          <w:tcPr>
            <w:tcW w:w="2412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B3118" w:rsidRPr="008B7300" w:rsidRDefault="000B3118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0A0"/>
      </w:tblPr>
      <w:tblGrid>
        <w:gridCol w:w="674"/>
        <w:gridCol w:w="6834"/>
        <w:gridCol w:w="8"/>
        <w:gridCol w:w="1269"/>
        <w:gridCol w:w="9"/>
        <w:gridCol w:w="1230"/>
      </w:tblGrid>
      <w:tr w:rsidR="000B3118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9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Приміт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одне місце), місця позначені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</w:tcPr>
          <w:p w:rsidR="000B3118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  <w:p w:rsidR="000B3118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B3118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входу на прилеглу територію та ширина дверей, хвірток (у разі їх наявності) становить не менше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0,9 метра</w:t>
              </w:r>
            </w:smartTag>
          </w:p>
        </w:tc>
        <w:tc>
          <w:tcPr>
            <w:tcW w:w="1277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пішохідних доріжок до будівлі становить не менше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1,8 метра</w:t>
              </w:r>
            </w:smartTag>
          </w:p>
        </w:tc>
        <w:tc>
          <w:tcPr>
            <w:tcW w:w="1277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Сходи відсутні</w:t>
            </w: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0,9 метра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завершальні частини поручнів продовжені по горизонталі на </w:t>
            </w:r>
            <w:smartTag w:uri="urn:schemas-microsoft-com:office:smarttags" w:element="metricconverter">
              <w:smartTagPr>
                <w:attr w:name="ProductID" w:val="0,3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0,3 метра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(як вгорі</w:t>
            </w:r>
            <w:r>
              <w:rPr>
                <w:rFonts w:ascii="Times New Roman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: назв</w:t>
            </w:r>
            <w:r>
              <w:rPr>
                <w:rFonts w:ascii="Times New Roman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Сходи відсутні на вході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0,9 метра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завершальні частини поручнів продовжені по горизонталі на </w:t>
            </w:r>
            <w:smartTag w:uri="urn:schemas-microsoft-com:office:smarttags" w:element="metricconverter">
              <w:smartTagPr>
                <w:attr w:name="ProductID" w:val="0,3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0,3 метра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(як вгорі</w:t>
            </w:r>
            <w:r>
              <w:rPr>
                <w:rFonts w:ascii="Times New Roman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0,9 метра</w:t>
              </w:r>
            </w:smartTag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4D3439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0,03</w:t>
            </w:r>
            <w:r>
              <w:rPr>
                <w:rFonts w:ascii="Times New Roman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1,5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8B7300">
                <w:rPr>
                  <w:rFonts w:ascii="Times New Roman" w:hAnsi="Times New Roman"/>
                  <w:sz w:val="28"/>
                  <w:szCs w:val="28"/>
                </w:rPr>
                <w:t>м</w:t>
              </w:r>
              <w:r>
                <w:rPr>
                  <w:rFonts w:ascii="Times New Roman" w:hAnsi="Times New Roman"/>
                  <w:sz w:val="28"/>
                  <w:szCs w:val="28"/>
                </w:rPr>
                <w:t>етра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0,015 м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х 0,015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 рівнем підлоги)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та перепади висоти підлоги на вході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4D3439">
              <w:rPr>
                <w:rFonts w:ascii="Times New Roman" w:hAnsi="Times New Roman"/>
                <w:b/>
                <w:sz w:val="28"/>
                <w:szCs w:val="28"/>
              </w:rPr>
              <w:t xml:space="preserve">так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його ширина у просвіті становить не менше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метра</w:t>
              </w:r>
            </w:smartTag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8 відсотків (на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0,9 метра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завершальні частини поручнів продовжені по горизонталі на </w:t>
            </w:r>
            <w:smartTag w:uri="urn:schemas-microsoft-com:office:smarttags" w:element="metricconverter">
              <w:smartTagPr>
                <w:attr w:name="ProductID" w:val="0,3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</w:t>
              </w:r>
              <w:r>
                <w:rPr>
                  <w:rFonts w:ascii="Times New Roman" w:hAnsi="Times New Roman"/>
                  <w:sz w:val="28"/>
                  <w:szCs w:val="28"/>
                </w:rPr>
                <w:t>,3 метра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(як вгорі, так і внизу)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Пандус відсутній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0,9 метра</w:t>
              </w:r>
            </w:smartTag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етра                                                    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hAnsi="Times New Roman"/>
                <w:sz w:val="28"/>
                <w:szCs w:val="28"/>
              </w:rPr>
              <w:t>0,03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0,05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Ліфт відсутній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ліфта рівень його підлоги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залишається в рівень із підлогою поверху (д</w:t>
            </w:r>
            <w:r>
              <w:rPr>
                <w:rFonts w:ascii="Times New Roman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 метра"/>
              </w:smartTagPr>
              <w:r w:rsidRPr="008B7300">
                <w:rPr>
                  <w:rFonts w:ascii="Times New Roman" w:hAnsi="Times New Roman"/>
                  <w:sz w:val="28"/>
                  <w:szCs w:val="28"/>
                </w:rPr>
                <w:t>0,02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8B7300">
                <w:rPr>
                  <w:rFonts w:ascii="Times New Roman" w:hAnsi="Times New Roman"/>
                  <w:sz w:val="28"/>
                  <w:szCs w:val="28"/>
                </w:rPr>
                <w:t>м</w:t>
              </w:r>
              <w:r>
                <w:rPr>
                  <w:rFonts w:ascii="Times New Roman" w:hAnsi="Times New Roman"/>
                  <w:sz w:val="28"/>
                  <w:szCs w:val="28"/>
                </w:rPr>
                <w:t>етра</w:t>
              </w:r>
            </w:smartTag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22)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1,1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ісце розташування пандуса (у разі його наявності)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824CF5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немає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ляхи евакуації є доступними для осіб з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lastRenderedPageBreak/>
              <w:t>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еб-сайти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“Інформаційні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технології. Настанова з доступності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B3118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жестов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жестов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B3118" w:rsidRPr="008B7300" w:rsidRDefault="000B3118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0B3118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 w:val="restart"/>
            <w:tcBorders>
              <w:left w:val="nil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right w:val="nil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tcBorders>
              <w:left w:val="nil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8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1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B3118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 w:val="restart"/>
            <w:tcBorders>
              <w:left w:val="nil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інвалід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right w:val="nil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vMerge/>
            <w:tcBorders>
              <w:left w:val="nil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0B3118" w:rsidRPr="008B7300" w:rsidRDefault="000B3118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hAnsi="Times New Roman"/>
                <w:sz w:val="28"/>
                <w:szCs w:val="28"/>
              </w:rPr>
              <w:t>порушен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>сього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--0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0B3118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hAnsi="Times New Roman"/>
                <w:sz w:val="28"/>
                <w:szCs w:val="28"/>
              </w:rPr>
              <w:t>з них жінки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72B41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0B3118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118" w:rsidRPr="008B7300" w:rsidRDefault="000B3118" w:rsidP="00FA2362">
            <w:pPr>
              <w:spacing w:before="12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B41" w:rsidRPr="00072B41">
              <w:rPr>
                <w:rFonts w:ascii="Times New Roman" w:hAnsi="Times New Roman"/>
                <w:sz w:val="28"/>
                <w:szCs w:val="28"/>
              </w:rPr>
              <w:t>об’єкт є бар’єрним</w:t>
            </w:r>
          </w:p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B3118" w:rsidRPr="009D31BA" w:rsidRDefault="000B3118" w:rsidP="00FA236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>* Зазначається:</w:t>
            </w:r>
          </w:p>
          <w:p w:rsidR="000B3118" w:rsidRPr="009D31BA" w:rsidRDefault="000B3118" w:rsidP="00FA2362">
            <w:pPr>
              <w:spacing w:before="12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0B3118" w:rsidRPr="009D31BA" w:rsidRDefault="000B3118" w:rsidP="00FA2362">
            <w:pPr>
              <w:spacing w:before="120"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0B3118" w:rsidRPr="009D31BA" w:rsidRDefault="000B3118" w:rsidP="00FA2362">
            <w:pPr>
              <w:spacing w:before="120"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Мілєніна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0B3118" w:rsidRPr="008B7300" w:rsidRDefault="000B3118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118" w:rsidRPr="008B7300" w:rsidRDefault="00072B41" w:rsidP="00FA2362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0B311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="000B3118">
              <w:rPr>
                <w:rFonts w:ascii="Times New Roman" w:hAnsi="Times New Roman"/>
                <w:sz w:val="28"/>
                <w:szCs w:val="28"/>
              </w:rPr>
              <w:t>вересня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B3118">
              <w:rPr>
                <w:rFonts w:ascii="Times New Roman" w:hAnsi="Times New Roman"/>
                <w:sz w:val="28"/>
                <w:szCs w:val="28"/>
              </w:rPr>
              <w:t>21</w:t>
            </w:r>
            <w:r w:rsidR="000B3118" w:rsidRPr="008B7300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0B3118" w:rsidRDefault="000B3118">
      <w:bookmarkStart w:id="0" w:name="_GoBack"/>
      <w:bookmarkEnd w:id="0"/>
    </w:p>
    <w:sectPr w:rsidR="000B3118" w:rsidSect="00E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4BB6"/>
    <w:rsid w:val="00072B41"/>
    <w:rsid w:val="000B3118"/>
    <w:rsid w:val="00306147"/>
    <w:rsid w:val="00310384"/>
    <w:rsid w:val="003B33A5"/>
    <w:rsid w:val="00444BB6"/>
    <w:rsid w:val="00444CB4"/>
    <w:rsid w:val="004D3439"/>
    <w:rsid w:val="006D353F"/>
    <w:rsid w:val="00824CF5"/>
    <w:rsid w:val="008B5CFF"/>
    <w:rsid w:val="008B7300"/>
    <w:rsid w:val="009D31BA"/>
    <w:rsid w:val="00B26C9B"/>
    <w:rsid w:val="00D07B34"/>
    <w:rsid w:val="00DC5749"/>
    <w:rsid w:val="00EF1935"/>
    <w:rsid w:val="00FA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rPr>
      <w:rFonts w:ascii="Antiqua" w:eastAsia="Times New Roman" w:hAnsi="Antiqua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444CB4"/>
    <w:pPr>
      <w:keepNext/>
      <w:keepLines/>
      <w:spacing w:after="240"/>
      <w:ind w:left="3969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072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4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4</cp:revision>
  <dcterms:created xsi:type="dcterms:W3CDTF">2021-09-22T05:25:00Z</dcterms:created>
  <dcterms:modified xsi:type="dcterms:W3CDTF">2021-09-27T12:05:00Z</dcterms:modified>
</cp:coreProperties>
</file>