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F714" w14:textId="77777777" w:rsidR="00FF1FCD" w:rsidRPr="008D5509" w:rsidRDefault="00FF1FCD" w:rsidP="00FF1FCD">
      <w:pPr>
        <w:shd w:val="clear" w:color="auto" w:fill="FFFFFF"/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D5509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14:paraId="6E1CA7F5" w14:textId="77777777" w:rsidR="00FF1FCD" w:rsidRPr="008D5509" w:rsidRDefault="00FF1FCD" w:rsidP="00FF1FCD">
      <w:pPr>
        <w:shd w:val="clear" w:color="auto" w:fill="FFFFFF"/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5509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рішенням</w:t>
      </w:r>
      <w:r w:rsidRPr="008D550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proofErr w:type="spellStart"/>
      <w:r w:rsidRPr="008D5509">
        <w:rPr>
          <w:rFonts w:ascii="Times New Roman" w:hAnsi="Times New Roman" w:cs="Times New Roman"/>
          <w:sz w:val="24"/>
          <w:szCs w:val="24"/>
          <w:lang w:eastAsia="uk-UA"/>
        </w:rPr>
        <w:t>иконавч</w:t>
      </w:r>
      <w:proofErr w:type="spellEnd"/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ого</w:t>
      </w:r>
      <w:r w:rsidRPr="008D550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5509">
        <w:rPr>
          <w:rFonts w:ascii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</w:p>
    <w:p w14:paraId="5C645F35" w14:textId="77777777" w:rsidR="00FF1FCD" w:rsidRPr="008D5509" w:rsidRDefault="00FF1FCD" w:rsidP="00FF1FCD">
      <w:pPr>
        <w:shd w:val="clear" w:color="auto" w:fill="FFFFFF"/>
        <w:spacing w:after="0"/>
        <w:ind w:firstLine="567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Первозванівської</w:t>
      </w:r>
      <w:proofErr w:type="spellEnd"/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сільської   ради                        </w:t>
      </w:r>
    </w:p>
    <w:p w14:paraId="11A5622D" w14:textId="77777777" w:rsidR="00FF1FCD" w:rsidRPr="008D5509" w:rsidRDefault="00FF1FCD" w:rsidP="00FF1FCD">
      <w:pPr>
        <w:shd w:val="clear" w:color="auto" w:fill="FFFFFF"/>
        <w:spacing w:after="0"/>
        <w:ind w:firstLine="567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55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«14»</w:t>
      </w: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лютого 2024 р</w:t>
      </w:r>
      <w:r w:rsidRPr="008D550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18 </w:t>
      </w:r>
    </w:p>
    <w:p w14:paraId="10B41DBC" w14:textId="77777777" w:rsidR="00FF1FCD" w:rsidRPr="006D6A20" w:rsidRDefault="00FF1FCD" w:rsidP="00FF1FCD">
      <w:pPr>
        <w:rPr>
          <w:sz w:val="28"/>
          <w:szCs w:val="28"/>
          <w:lang w:val="uk-UA"/>
        </w:rPr>
      </w:pPr>
    </w:p>
    <w:p w14:paraId="68E5706A" w14:textId="77777777" w:rsidR="00FF1FCD" w:rsidRPr="006D6A20" w:rsidRDefault="00FF1FCD" w:rsidP="00FF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20">
        <w:rPr>
          <w:rFonts w:ascii="Times New Roman" w:hAnsi="Times New Roman" w:cs="Times New Roman"/>
          <w:b/>
          <w:sz w:val="28"/>
          <w:szCs w:val="28"/>
        </w:rPr>
        <w:t>ПЕРСПЕКТИВНИЙ ПЛАН</w:t>
      </w:r>
    </w:p>
    <w:p w14:paraId="45167869" w14:textId="77777777" w:rsidR="00FF1FCD" w:rsidRPr="006D6A20" w:rsidRDefault="00FF1FCD" w:rsidP="00FF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A20">
        <w:rPr>
          <w:rFonts w:ascii="Times New Roman" w:hAnsi="Times New Roman" w:cs="Times New Roman"/>
          <w:b/>
          <w:sz w:val="28"/>
          <w:szCs w:val="28"/>
        </w:rPr>
        <w:t>РОБОТИ  З</w:t>
      </w:r>
      <w:proofErr w:type="gramEnd"/>
      <w:r w:rsidRPr="006D6A20">
        <w:rPr>
          <w:rFonts w:ascii="Times New Roman" w:hAnsi="Times New Roman" w:cs="Times New Roman"/>
          <w:b/>
          <w:sz w:val="28"/>
          <w:szCs w:val="28"/>
        </w:rPr>
        <w:t xml:space="preserve"> ВІЙСКОВОГО ОБЛІКУ</w:t>
      </w:r>
    </w:p>
    <w:p w14:paraId="0A162F30" w14:textId="77777777" w:rsidR="00FF1FCD" w:rsidRPr="006D6A20" w:rsidRDefault="00FF1FCD" w:rsidP="00FF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20">
        <w:rPr>
          <w:rFonts w:ascii="Times New Roman" w:hAnsi="Times New Roman" w:cs="Times New Roman"/>
          <w:b/>
          <w:sz w:val="28"/>
          <w:szCs w:val="28"/>
        </w:rPr>
        <w:t xml:space="preserve"> ВІЙСЬКОВОЗОБОВЯЗАНИХ І ПРИЗОВНИКІВ </w:t>
      </w:r>
    </w:p>
    <w:p w14:paraId="101CEC27" w14:textId="77777777" w:rsidR="00FF1FCD" w:rsidRPr="006D6A20" w:rsidRDefault="00FF1FCD" w:rsidP="00FF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D6A20">
        <w:rPr>
          <w:rFonts w:ascii="Times New Roman" w:hAnsi="Times New Roman" w:cs="Times New Roman"/>
          <w:b/>
          <w:sz w:val="28"/>
          <w:szCs w:val="28"/>
        </w:rPr>
        <w:t>ПЕРВОЗВАНІВСЬК</w:t>
      </w:r>
      <w:r>
        <w:rPr>
          <w:rFonts w:ascii="Times New Roman" w:hAnsi="Times New Roman" w:cs="Times New Roman"/>
          <w:b/>
          <w:sz w:val="28"/>
          <w:szCs w:val="28"/>
        </w:rPr>
        <w:t>ОЇ  СІЛЬСЬКОЇ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 НА 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14:paraId="409C51FC" w14:textId="77777777" w:rsidR="00FF1FCD" w:rsidRPr="006D6A20" w:rsidRDefault="00FF1FCD" w:rsidP="00FF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204C4" w14:textId="77777777" w:rsidR="00FF1FCD" w:rsidRDefault="00FF1FCD" w:rsidP="00FF1FCD">
      <w:pPr>
        <w:jc w:val="center"/>
        <w:rPr>
          <w:sz w:val="28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04"/>
        <w:gridCol w:w="54"/>
        <w:gridCol w:w="1499"/>
        <w:gridCol w:w="155"/>
        <w:gridCol w:w="1864"/>
        <w:gridCol w:w="144"/>
        <w:gridCol w:w="1271"/>
      </w:tblGrid>
      <w:tr w:rsidR="00FF1FCD" w:rsidRPr="006D6A20" w14:paraId="664A98DA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B357" w14:textId="77777777" w:rsidR="00FF1FCD" w:rsidRDefault="00FF1FCD" w:rsidP="002708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55C5CE" w14:textId="77777777" w:rsidR="00FF1FCD" w:rsidRPr="008D5509" w:rsidRDefault="00FF1FCD" w:rsidP="002708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4854" w14:textId="77777777" w:rsidR="00FF1FCD" w:rsidRPr="008D5509" w:rsidRDefault="00FF1FCD" w:rsidP="002708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5DA" w14:textId="77777777" w:rsidR="00FF1FCD" w:rsidRPr="008D5509" w:rsidRDefault="00FF1FCD" w:rsidP="002708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ACAE" w14:textId="77777777" w:rsidR="00FF1FCD" w:rsidRPr="008D5509" w:rsidRDefault="00FF1FCD" w:rsidP="002708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055" w14:textId="77777777" w:rsidR="00FF1FCD" w:rsidRPr="008D5509" w:rsidRDefault="00FF1FCD" w:rsidP="002708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  <w:proofErr w:type="spellEnd"/>
          </w:p>
          <w:p w14:paraId="7237EB4B" w14:textId="77777777" w:rsidR="00FF1FCD" w:rsidRPr="008D5509" w:rsidRDefault="00FF1FCD" w:rsidP="0027080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FF1FCD" w:rsidRPr="006D6A20" w14:paraId="687AFB0B" w14:textId="77777777" w:rsidTr="00270808">
        <w:trPr>
          <w:cantSplit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FBB" w14:textId="77777777" w:rsidR="00FF1FCD" w:rsidRPr="006D6A20" w:rsidRDefault="00FF1FCD" w:rsidP="00270808">
            <w:pPr>
              <w:spacing w:after="0"/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4F4A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8201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C12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8B54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FCD" w:rsidRPr="006D6A20" w14:paraId="7A14E001" w14:textId="77777777" w:rsidTr="00270808">
        <w:trPr>
          <w:cantSplit/>
          <w:trHeight w:val="67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38E" w14:textId="77777777" w:rsidR="00FF1FCD" w:rsidRPr="006D6A20" w:rsidRDefault="00FF1FCD" w:rsidP="00270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FDE3145" w14:textId="77777777" w:rsidR="00FF1FCD" w:rsidRPr="008D5509" w:rsidRDefault="00FF1FCD" w:rsidP="002708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1.ПЛАНУВАННЯ</w:t>
            </w:r>
          </w:p>
        </w:tc>
      </w:tr>
      <w:tr w:rsidR="00FF1FCD" w:rsidRPr="006D6A20" w14:paraId="20FDADA5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928F" w14:textId="77777777" w:rsidR="00FF1FCD" w:rsidRPr="006D6A20" w:rsidRDefault="00FF1FCD" w:rsidP="00270808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25BB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01A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AEC4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D51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9B2680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581A" w14:textId="77777777" w:rsidR="00FF1FCD" w:rsidRPr="006D6A20" w:rsidRDefault="00FF1FCD" w:rsidP="00270808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A06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графіків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звіряння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установами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домовими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книгами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та шляхом обходу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7416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238A" w14:textId="77777777" w:rsidR="00FF1FCD" w:rsidRPr="006D6A20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423" w14:textId="77777777" w:rsidR="00FF1FCD" w:rsidRPr="006D6A20" w:rsidRDefault="00FF1FCD" w:rsidP="00270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6A53DF2" w14:textId="77777777" w:rsidTr="00270808">
        <w:trPr>
          <w:cantSplit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D04" w14:textId="77777777" w:rsidR="00FF1FCD" w:rsidRPr="006D6A20" w:rsidRDefault="00FF1FCD" w:rsidP="00270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81CD14" w14:textId="77777777" w:rsidR="00FF1FCD" w:rsidRPr="008D5509" w:rsidRDefault="00FF1FCD" w:rsidP="002708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2.ОРГАНІЗАЦІЯ ТА ПРОВЕДЕННЯ ПРИПИСКИ ГРОМАДЯН </w:t>
            </w:r>
          </w:p>
        </w:tc>
      </w:tr>
      <w:tr w:rsidR="00FF1FCD" w:rsidRPr="006D6A20" w14:paraId="7287EAB3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6A4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2.1.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E8F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приписки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юнаків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призовної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дільниці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877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4F5F" w14:textId="77777777" w:rsidR="00FF1FCD" w:rsidRPr="006D6A20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5F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3A1BC51A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D36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77F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агітаційної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юнаків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ВНЗ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4E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F80E" w14:textId="77777777" w:rsidR="00FF1FCD" w:rsidRPr="006D6A20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C6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27997090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46B1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2C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виканням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призовної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приписки.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893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BB13" w14:textId="77777777" w:rsidR="00FF1FCD" w:rsidRPr="008D5509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A11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8C8383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1B9B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43E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до РТЦК та СП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юнаків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2008 року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приписки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F436" w14:textId="77777777" w:rsidR="00FF1FCD" w:rsidRPr="006D6A20" w:rsidRDefault="00FF1FCD" w:rsidP="0027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023EA379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19FF" w14:textId="77777777" w:rsidR="00FF1FCD" w:rsidRPr="008D5509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89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37894051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5EC4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608A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815" w14:textId="77777777" w:rsidR="00FF1FCD" w:rsidRPr="006D6A20" w:rsidRDefault="00FF1FCD" w:rsidP="0027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31E99153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2DE" w14:textId="77777777" w:rsidR="00FF1FCD" w:rsidRPr="008D5509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71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09BF5192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36A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7C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пройшли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приписку  до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призовної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дільниці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E99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AFD" w14:textId="77777777" w:rsidR="00FF1FCD" w:rsidRPr="008D5509" w:rsidRDefault="00FF1FCD" w:rsidP="00270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9B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B78B1CB" w14:textId="77777777" w:rsidTr="00270808">
        <w:trPr>
          <w:cantSplit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CD5" w14:textId="77777777" w:rsidR="00FF1FCD" w:rsidRPr="006D6A20" w:rsidRDefault="00FF1FCD" w:rsidP="00270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5E0318" w14:textId="77777777" w:rsidR="00FF1FCD" w:rsidRPr="008D5509" w:rsidRDefault="00FF1FCD" w:rsidP="00270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3.ЗАХОДИ З ВІЙСЬКОВОГО </w:t>
            </w:r>
            <w:proofErr w:type="gramStart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ОБЛІКУ  ВІЙСЬКОВОХОБОВЯЗАНИХ</w:t>
            </w:r>
            <w:proofErr w:type="gramEnd"/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A9A702" w14:textId="77777777" w:rsidR="00FF1FCD" w:rsidRPr="006D6A20" w:rsidRDefault="00FF1FCD" w:rsidP="0027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ТА ПРИЗОВНИКІВ</w:t>
            </w:r>
          </w:p>
        </w:tc>
      </w:tr>
      <w:tr w:rsidR="00FF1FCD" w:rsidRPr="006D6A20" w14:paraId="041DBCA8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02E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C33C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військово-облікових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53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взятті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DC66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451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0F66AF5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3BB9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EA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стану,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0BF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34E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AB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051053C0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04B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17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явку до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РТЦК та СП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AB3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розпорядженням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РТЦК та СП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488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04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B4CB380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2CE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2AC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14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F05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79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5C98706A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F436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D1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резервістів</w:t>
            </w:r>
            <w:proofErr w:type="spellEnd"/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16C3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16E6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A2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4C849313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FD4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26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РТЦК та СП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військовозобов’язаних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виключення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віком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F53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610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E4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9081A63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2090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3E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Звіряння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списки персонального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D1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AEC4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36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24CE4178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9DB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3FE" w14:textId="77777777" w:rsidR="00FF1FCD" w:rsidRPr="006D6A20" w:rsidRDefault="00FF1FCD" w:rsidP="00270808">
            <w:pPr>
              <w:pStyle w:val="Ctrl"/>
              <w:ind w:firstLine="0"/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</w:pPr>
            <w:proofErr w:type="spellStart"/>
            <w:r w:rsidRPr="006D6A20"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  <w:t>Ознайомлення</w:t>
            </w:r>
            <w:proofErr w:type="spellEnd"/>
            <w:r w:rsidRPr="006D6A20"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  <w:t xml:space="preserve"> з правилами </w:t>
            </w:r>
            <w:proofErr w:type="spellStart"/>
            <w:r w:rsidRPr="006D6A20"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  <w:t>військового</w:t>
            </w:r>
            <w:proofErr w:type="spellEnd"/>
            <w:r w:rsidRPr="006D6A20"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D6A20"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  <w:t>обліку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485" w14:textId="77777777" w:rsidR="00FF1FCD" w:rsidRPr="006D6A20" w:rsidRDefault="00FF1FCD" w:rsidP="00270808">
            <w:pPr>
              <w:pStyle w:val="Ctrl"/>
              <w:ind w:firstLine="0"/>
              <w:rPr>
                <w:rFonts w:cs="Times New Roman"/>
                <w:color w:val="auto"/>
                <w:szCs w:val="24"/>
                <w:shd w:val="clear" w:color="auto" w:fill="FFFFFF"/>
                <w:lang w:val="ru-RU"/>
              </w:rPr>
            </w:pPr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 xml:space="preserve"> </w:t>
            </w:r>
            <w:proofErr w:type="spellStart"/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>під</w:t>
            </w:r>
            <w:proofErr w:type="spellEnd"/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 xml:space="preserve"> час </w:t>
            </w:r>
            <w:proofErr w:type="spellStart"/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>взяття</w:t>
            </w:r>
            <w:proofErr w:type="spellEnd"/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 xml:space="preserve"> на </w:t>
            </w:r>
            <w:proofErr w:type="spellStart"/>
            <w:r w:rsidRPr="006D6A20">
              <w:rPr>
                <w:rFonts w:cs="Times New Roman"/>
                <w:color w:val="auto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65DE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71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04FD5ED8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5E5B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0A8" w14:textId="77777777" w:rsidR="00FF1FCD" w:rsidRPr="006D6A20" w:rsidRDefault="00FF1FCD" w:rsidP="0027080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серед призовників та військовозобов’язаних щодо виконання ними правил військового обліку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7E54" w14:textId="77777777" w:rsidR="00FF1FCD" w:rsidRPr="006D6A20" w:rsidRDefault="00FF1FCD" w:rsidP="002708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96D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D6E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6D6895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BB2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CA1F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 усіх підприємств, організацій, установ, незалежно від підпорядкування і форм власності, їх банкрутство (ліквідацію), які знаходяться на території, яка обслуговується місцевим органом самоврядування, здійснювати систематичний контроль за їх військово-обліковою роботою.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26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0D78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9B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1578B14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A69A" w14:textId="77777777" w:rsidR="00FF1FCD" w:rsidRPr="006D6A20" w:rsidRDefault="00FF1FCD" w:rsidP="00270808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869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роз’яснювальну роботу,  щодо військового обліку жінок, згідно переліку посад та професій відповідно до наказу МОУ, від 11.10.2021 року №313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0583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45B0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54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446B900" w14:textId="77777777" w:rsidTr="00270808">
        <w:trPr>
          <w:cantSplit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780" w14:textId="77777777" w:rsidR="00FF1FCD" w:rsidRPr="006D6A20" w:rsidRDefault="00FF1FCD" w:rsidP="00270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3183F72" w14:textId="77777777" w:rsidR="00FF1FCD" w:rsidRPr="008D5509" w:rsidRDefault="00FF1FCD" w:rsidP="00270808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4.ПІД ЧАС МОБІЛІЗАЦІЇ ТА У ВОЕННИЙ ЧАС</w:t>
            </w:r>
          </w:p>
        </w:tc>
      </w:tr>
      <w:tr w:rsidR="00FF1FCD" w:rsidRPr="006D6A20" w14:paraId="19AA23C9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24DE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   4.1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39D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на відповідній території виконання підприємствами, установами і організаціями, що перебувають у комунальній власності, мобілізаційних завдань (замовлень).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A6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34E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3F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6F6366A1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8573" w14:textId="77777777" w:rsidR="00FF1FCD" w:rsidRPr="006D6A20" w:rsidRDefault="00FF1FCD" w:rsidP="00270808">
            <w:pPr>
              <w:ind w:left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5C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мобілізації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на роботу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особливого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E7E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3821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A7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77945FF1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D4E" w14:textId="77777777" w:rsidR="00FF1FCD" w:rsidRPr="006D6A20" w:rsidRDefault="00FF1FCD" w:rsidP="00270808">
            <w:pPr>
              <w:ind w:left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C0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під час мобілізації в установленому порядку своєчасне оповіщення та прибуття громадян, які призиваються на військову службу,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України, іншим військовим формуванням відповідно до мобілізаційного плану.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C1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7E8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6CC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105AB13" w14:textId="77777777" w:rsidTr="00270808">
        <w:trPr>
          <w:cantSplit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869B" w14:textId="77777777" w:rsidR="00FF1FCD" w:rsidRPr="008D5509" w:rsidRDefault="00FF1FCD" w:rsidP="002708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509">
              <w:rPr>
                <w:rFonts w:ascii="Times New Roman" w:hAnsi="Times New Roman" w:cs="Times New Roman"/>
                <w:b/>
                <w:sz w:val="24"/>
                <w:szCs w:val="24"/>
              </w:rPr>
              <w:t>6.ЗДІЙСНЕННЯ ЗАХОДІВ ЩОДО ВІЙСЬКОВО-ПАТРІОТИЧНОГО ВИХОВАННЯ НАСЕЛЕННЯ</w:t>
            </w:r>
          </w:p>
        </w:tc>
      </w:tr>
      <w:tr w:rsidR="00FF1FCD" w:rsidRPr="006D6A20" w14:paraId="13E8B9DA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A55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A46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в закладах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7E5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15 лютого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C12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в/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B0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55D3984D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46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DD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заходи по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вшануванню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жертв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залученням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села. 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9DD4" w14:textId="77777777" w:rsidR="00FF1FCD" w:rsidRPr="006D6A20" w:rsidRDefault="00FF1FCD" w:rsidP="002708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FFE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BD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230DC63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59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FC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заходи по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вшануванню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римирення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залученням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села.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D9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8C6B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A73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413DE262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74B1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A0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патріотичному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вихованню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 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  на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пункту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8510" w14:textId="77777777" w:rsidR="00FF1FCD" w:rsidRPr="006D6A20" w:rsidRDefault="00FF1FCD" w:rsidP="0027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A891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D567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40A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02FBC269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9FC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1E1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заходи  по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вшануванню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воїнів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загинули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рф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90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ABE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5C2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6BFB3793" w14:textId="77777777" w:rsidTr="00270808">
        <w:trPr>
          <w:cantSplit/>
          <w:trHeight w:val="24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DE3C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E19" w14:textId="77777777" w:rsidR="00FF1FCD" w:rsidRPr="006D6A20" w:rsidRDefault="00FF1FCD" w:rsidP="00270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 покладання квітів до обелісків та пам’ятників  воїнів, що загинули  від рук фашистських загарбників та  поховань учасників АТО та воїнів захисників, що віддали своє життя за захист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під час військової агресії російської ф</w:t>
            </w:r>
            <w:r w:rsidRPr="006D6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едерації</w:t>
            </w:r>
          </w:p>
          <w:p w14:paraId="2ADD9556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D2F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EDB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5AD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64CC5260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F86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D7A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мобілізованих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відпустках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шкіл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65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2F18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20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BB7391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07C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A5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оновлювати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військову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службу за контрактом 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B80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804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244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F1FCD" w:rsidRPr="006D6A20" w14:paraId="1F90E33E" w14:textId="77777777" w:rsidTr="002708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E247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858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воїнів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загинули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зникли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безвісті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полоні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рф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F6B0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72AF" w14:textId="77777777" w:rsidR="00FF1FCD" w:rsidRPr="006D6A20" w:rsidRDefault="00FF1FCD" w:rsidP="00270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EFB" w14:textId="77777777" w:rsidR="00FF1FCD" w:rsidRPr="006D6A20" w:rsidRDefault="00FF1FCD" w:rsidP="00270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46A961F" w14:textId="77777777" w:rsidR="00FF1FCD" w:rsidRPr="006D6A20" w:rsidRDefault="00FF1FCD" w:rsidP="00FF1F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0DD982" w14:textId="77777777" w:rsidR="00FF1FCD" w:rsidRDefault="00FF1FCD" w:rsidP="00FF1FC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D5509">
        <w:rPr>
          <w:rFonts w:ascii="Times New Roman" w:hAnsi="Times New Roman" w:cs="Times New Roman"/>
          <w:b/>
          <w:sz w:val="24"/>
          <w:szCs w:val="24"/>
        </w:rPr>
        <w:t>Відповідальна</w:t>
      </w:r>
      <w:proofErr w:type="spellEnd"/>
      <w:r w:rsidRPr="008D550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8D5509">
        <w:rPr>
          <w:rFonts w:ascii="Times New Roman" w:hAnsi="Times New Roman" w:cs="Times New Roman"/>
          <w:b/>
          <w:sz w:val="24"/>
          <w:szCs w:val="24"/>
        </w:rPr>
        <w:t>військовий</w:t>
      </w:r>
      <w:proofErr w:type="spellEnd"/>
      <w:r w:rsidRPr="008D55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509">
        <w:rPr>
          <w:rFonts w:ascii="Times New Roman" w:hAnsi="Times New Roman" w:cs="Times New Roman"/>
          <w:b/>
          <w:sz w:val="24"/>
          <w:szCs w:val="24"/>
        </w:rPr>
        <w:t>облік</w:t>
      </w:r>
      <w:proofErr w:type="spellEnd"/>
      <w:r w:rsidRPr="008D550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8D5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D55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509">
        <w:rPr>
          <w:rFonts w:ascii="Times New Roman" w:hAnsi="Times New Roman" w:cs="Times New Roman"/>
          <w:b/>
          <w:sz w:val="24"/>
          <w:szCs w:val="24"/>
        </w:rPr>
        <w:t>Тетяна</w:t>
      </w:r>
      <w:proofErr w:type="spellEnd"/>
      <w:r w:rsidRPr="008D5509">
        <w:rPr>
          <w:rFonts w:ascii="Times New Roman" w:hAnsi="Times New Roman" w:cs="Times New Roman"/>
          <w:b/>
          <w:sz w:val="24"/>
          <w:szCs w:val="24"/>
        </w:rPr>
        <w:t xml:space="preserve"> ВИШНЕВСЬКА</w:t>
      </w:r>
    </w:p>
    <w:p w14:paraId="61675340" w14:textId="4A5BDD80" w:rsidR="00F077A8" w:rsidRPr="00361561" w:rsidRDefault="00F077A8" w:rsidP="00361561">
      <w:p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77A8" w:rsidRPr="00361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072"/>
    <w:multiLevelType w:val="multilevel"/>
    <w:tmpl w:val="6EF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4804"/>
    <w:multiLevelType w:val="hybridMultilevel"/>
    <w:tmpl w:val="7D1C0166"/>
    <w:lvl w:ilvl="0" w:tplc="968CE3FA">
      <w:start w:val="4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9845079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195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A8"/>
    <w:rsid w:val="000B1C5B"/>
    <w:rsid w:val="00361561"/>
    <w:rsid w:val="00F077A8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D916"/>
  <w15:chartTrackingRefBased/>
  <w15:docId w15:val="{E51880E6-2970-46AC-BC54-C8580D6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5B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5B"/>
    <w:pPr>
      <w:spacing w:after="160" w:line="252" w:lineRule="auto"/>
      <w:ind w:left="720"/>
      <w:contextualSpacing/>
    </w:pPr>
  </w:style>
  <w:style w:type="paragraph" w:styleId="a4">
    <w:name w:val="No Spacing"/>
    <w:link w:val="a5"/>
    <w:uiPriority w:val="1"/>
    <w:qFormat/>
    <w:rsid w:val="00FF1FCD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5">
    <w:name w:val="Без інтервалів Знак"/>
    <w:link w:val="a4"/>
    <w:uiPriority w:val="1"/>
    <w:locked/>
    <w:rsid w:val="00FF1FCD"/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Ctrl">
    <w:name w:val="Статья_основной_текст (Статья ___Ctrl)"/>
    <w:uiPriority w:val="1"/>
    <w:rsid w:val="00FF1FCD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Times New Roman" w:hAnsi="Times New Roman" w:cs="Arno Pro"/>
      <w:color w:val="000000"/>
      <w:kern w:val="0"/>
      <w:sz w:val="24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3922</Words>
  <Characters>2236</Characters>
  <Application>Microsoft Office Word</Application>
  <DocSecurity>0</DocSecurity>
  <Lines>18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2024-02-29T12:16:00Z</dcterms:created>
  <dcterms:modified xsi:type="dcterms:W3CDTF">2024-02-29T12:16:00Z</dcterms:modified>
</cp:coreProperties>
</file>