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5715" w14:textId="77777777" w:rsidR="00287369" w:rsidRPr="00547479" w:rsidRDefault="00287369" w:rsidP="0028736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54747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Додаток </w:t>
      </w:r>
    </w:p>
    <w:p w14:paraId="50AC99E8" w14:textId="77777777" w:rsidR="00287369" w:rsidRPr="00547479" w:rsidRDefault="00287369" w:rsidP="00287369">
      <w:pPr>
        <w:jc w:val="center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54747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</w:t>
      </w:r>
      <w:r w:rsidRPr="00547479">
        <w:rPr>
          <w:rFonts w:ascii="Times New Roman" w:eastAsia="Times New Roman" w:hAnsi="Times New Roman"/>
          <w:noProof/>
          <w:sz w:val="24"/>
          <w:szCs w:val="24"/>
          <w:lang w:val="uk-UA"/>
        </w:rPr>
        <w:t>до рішення  виконавчого комітету</w:t>
      </w:r>
    </w:p>
    <w:p w14:paraId="08993034" w14:textId="77777777" w:rsidR="00287369" w:rsidRPr="00547479" w:rsidRDefault="00287369" w:rsidP="00287369">
      <w:pPr>
        <w:jc w:val="center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54747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</w:t>
      </w:r>
      <w:r w:rsidRPr="00547479">
        <w:rPr>
          <w:rFonts w:ascii="Times New Roman" w:eastAsia="Times New Roman" w:hAnsi="Times New Roman"/>
          <w:noProof/>
          <w:sz w:val="24"/>
          <w:szCs w:val="24"/>
          <w:lang w:val="uk-UA"/>
        </w:rPr>
        <w:t>Первозванівської сільської ради</w:t>
      </w:r>
    </w:p>
    <w:p w14:paraId="77DAE2F9" w14:textId="77777777" w:rsidR="00287369" w:rsidRPr="00547479" w:rsidRDefault="00287369" w:rsidP="00287369">
      <w:pPr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547479"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uk-UA"/>
        </w:rPr>
        <w:t xml:space="preserve">                від 19.04.2024 року № 44</w:t>
      </w:r>
    </w:p>
    <w:p w14:paraId="2342717B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</w:p>
    <w:p w14:paraId="47083B73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</w:p>
    <w:p w14:paraId="21DD745C" w14:textId="77777777" w:rsidR="00287369" w:rsidRPr="00547479" w:rsidRDefault="00287369" w:rsidP="0028736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547479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>ВИСНОВОК</w:t>
      </w:r>
    </w:p>
    <w:p w14:paraId="47C5AF22" w14:textId="77777777" w:rsidR="00287369" w:rsidRDefault="00287369" w:rsidP="0028736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547479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стосовно відповідності  інтересам  територіальної громади пропозиції сільського голови щодо ініціювання співробітництва територіальних громад у сфері архівної справи у формі  спільного фінансування  </w:t>
      </w:r>
    </w:p>
    <w:p w14:paraId="05DC90A9" w14:textId="77777777" w:rsidR="00287369" w:rsidRDefault="00287369" w:rsidP="0028736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>(утримання) підприємств</w:t>
      </w:r>
      <w:r w:rsidRPr="00547479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>, установ та  організацій комунальної форми</w:t>
      </w:r>
    </w:p>
    <w:p w14:paraId="79A646AF" w14:textId="77777777" w:rsidR="00287369" w:rsidRDefault="00287369" w:rsidP="00287369">
      <w:pPr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 </w:t>
      </w:r>
    </w:p>
    <w:p w14:paraId="7AF2969D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1.Суб’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єкт внесення пропозицій: Катеринівський 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сільський голова.</w:t>
      </w:r>
    </w:p>
    <w:p w14:paraId="47890CBB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2.Дата внесення пропозицій: 12 квітня 2024 року.</w:t>
      </w:r>
    </w:p>
    <w:p w14:paraId="6FBA39F9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3.Потенційні суб’єкти  співробітництва: Аджамська  територіальна  громада, Великосеверинівська територіальна  громада, Первозванівська територіальна  громада та Соколівська територіальна  громада.</w:t>
      </w:r>
    </w:p>
    <w:p w14:paraId="564EEFB4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4. Мета співробітництва :</w:t>
      </w:r>
    </w:p>
    <w:p w14:paraId="2D4EBC1C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- виявлення та внесення до джерел комплектування  документів підприємств, установ і організацій незалежно від форм  власності, що розташовані на території Аджамської, Великосеверинівської, Катеринівської, Первозванівської та Соколівської територіальних громад;</w:t>
      </w:r>
    </w:p>
    <w:p w14:paraId="40935158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- приймання від підприємств, установ, організацій вище перерахованих громад- джерел  комплектування документів з особового складу, документів </w:t>
      </w:r>
    </w:p>
    <w:p w14:paraId="6EA46845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фінансово – господарської діяльності та інших документів,строки зберігання яких не закінчилися;</w:t>
      </w:r>
    </w:p>
    <w:p w14:paraId="34410DF6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-н</w:t>
      </w:r>
      <w:r w:rsidRPr="007D5E71">
        <w:rPr>
          <w:rFonts w:ascii="Times New Roman" w:eastAsia="Times New Roman" w:hAnsi="Times New Roman"/>
          <w:noProof/>
          <w:sz w:val="28"/>
          <w:szCs w:val="28"/>
          <w:lang w:val="uk-UA"/>
        </w:rPr>
        <w:t>ауково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</w:t>
      </w:r>
      <w:r w:rsidRPr="007D5E71">
        <w:rPr>
          <w:rFonts w:ascii="Times New Roman" w:eastAsia="Times New Roman" w:hAnsi="Times New Roman"/>
          <w:noProof/>
          <w:sz w:val="28"/>
          <w:szCs w:val="28"/>
          <w:lang w:val="uk-UA"/>
        </w:rPr>
        <w:t>- технічне  опрацювання документів, що надійшли на зберігання, згідно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з правила  Держкомархіву;</w:t>
      </w:r>
    </w:p>
    <w:p w14:paraId="3EC1699D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- облік документів, що зберігаються, створення  для них  необхідного пошукового і довідкового  апарату, зокрема із застосуванням персональних копмп’ютерів;</w:t>
      </w:r>
    </w:p>
    <w:p w14:paraId="1CFD7E4F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- організація користування  документами у службових, наукових, соціально- правових та інших  цілях юридичними особами і громадянами, видача у встановленому  Держкомархівом порядку архівних довідок, копій та витягів з документів, що знаходяться на зберіганні;</w:t>
      </w:r>
    </w:p>
    <w:p w14:paraId="43E3611C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- проведення експертизи цінності  документів, що знаходяться на зберіганні,</w:t>
      </w:r>
    </w:p>
    <w:p w14:paraId="051142CC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подання на затвердження експертної комісії описів справ  тимчасового зберігання з особового складу підприємств, установ і організацій – джерел комплектування  та актів про виділення  до знищення  справ, строк зберігання  яких закінчився.</w:t>
      </w:r>
    </w:p>
    <w:p w14:paraId="023C3480" w14:textId="77777777" w:rsidR="00287369" w:rsidRPr="007D5E71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5.Обгрунтування доцільності співробітництва: відповідно до законів України «Про місцеве самоврядування в Україні», «Про співробітництво теритоіальних громад», з метою забезпечення  ефективного використання  ресурсів територіальних громад на основі спільного  застосування  наявної  в Катеринівській  територіальній  громаді  комунальної установи «Об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єднаний  трудовий архів Кропивницького району Кіровоградської області» спільно з 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lastRenderedPageBreak/>
        <w:t xml:space="preserve">Аджамською, Великосеверинівською, Первозванівською та Соколівською територіальними  громадами фінансувати ( утримувати) Комунальну установу </w:t>
      </w:r>
    </w:p>
    <w:p w14:paraId="5AB6C24E" w14:textId="77777777" w:rsidR="00287369" w:rsidRPr="004D34AA" w:rsidRDefault="00287369" w:rsidP="00287369">
      <w:pPr>
        <w:jc w:val="center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«Об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єднаний трудовий архів Кропивницького району Кіровоградської області».</w:t>
      </w:r>
    </w:p>
    <w:p w14:paraId="3048FFD5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   6.Сфера здійснення співробітництва: ведення архівної справи ( спільне утримання комунальної установи).</w:t>
      </w:r>
    </w:p>
    <w:p w14:paraId="7B8B6285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   7. Форма  співробітництва: забезпечити  побудову відносин з суб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єктами надання архівних послуг на партнерських засадах в межах чинного законодавства України з урахуванням їхніх потреб та інтересів; спільне  фінансування (утримання)  суб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єктами співробітництва КУ «Об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єднаний трудовий архів Кропивницького району Кіровоградської області»;</w:t>
      </w:r>
    </w:p>
    <w:p w14:paraId="2D4F87D9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   8.Очікувані  фінансові результати співробітництва:  фінансування  </w:t>
      </w:r>
    </w:p>
    <w:p w14:paraId="5F1B494D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( утримання) об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єкта на наступні  бюджетні періоди здійснюються відповідно до вимог  Бюджетного кодексу України за рахунок коштів  місцевих бюджетів суб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єктів співробітництва, пропорційно до кількості справ  тривалого зберігання та  кількості  виданих довідок територіальних громад.</w:t>
      </w:r>
    </w:p>
    <w:p w14:paraId="34D7F507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   9.Інші умови  співробітництва: забезпечити  дотримання  основних принципів  та вимог державної політики з питань надання  архівних послуг відповідно  до  Закону України «Про національний архівний фонд і архівні установи» та інших нормативно - правових актів України. </w:t>
      </w:r>
    </w:p>
    <w:p w14:paraId="5BDFD027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        10.Висновок: пропозиція щодо ініціювання  співробітництва  Катеринівської, Аджамської, Великосеверинівської, Первозванівської та  Соколівської  територіальних громад відповідає інтересам та потребам Катеринівської територіальної громади  через  Катеринівську сільську раду Кропивницького району Кіровоградської області.</w:t>
      </w:r>
    </w:p>
    <w:p w14:paraId="3441545E" w14:textId="77777777" w:rsidR="00287369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</w:p>
    <w:p w14:paraId="494E58B7" w14:textId="77777777" w:rsidR="00287369" w:rsidRPr="0097602A" w:rsidRDefault="00287369" w:rsidP="0028736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97602A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>Орієнтовний розрахунок фінансування</w:t>
      </w:r>
    </w:p>
    <w:p w14:paraId="5DAE31A8" w14:textId="77777777" w:rsidR="00287369" w:rsidRDefault="00287369" w:rsidP="00287369">
      <w:pPr>
        <w:jc w:val="left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</w:p>
    <w:p w14:paraId="7EB3D750" w14:textId="77777777" w:rsidR="00287369" w:rsidRPr="007D5E71" w:rsidRDefault="00287369" w:rsidP="00287369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97602A">
        <w:rPr>
          <w:rFonts w:ascii="Times New Roman" w:eastAsia="Times New Roman" w:hAnsi="Times New Roman"/>
          <w:noProof/>
          <w:sz w:val="28"/>
          <w:szCs w:val="28"/>
          <w:lang w:val="uk-UA"/>
        </w:rPr>
        <w:t>1. Видатки на утримання</w:t>
      </w:r>
      <w:r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 xml:space="preserve">Комунальної установи </w:t>
      </w:r>
    </w:p>
    <w:p w14:paraId="54581DBC" w14:textId="77777777" w:rsidR="00287369" w:rsidRDefault="00287369" w:rsidP="00287369">
      <w:pPr>
        <w:jc w:val="left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«Об</w:t>
      </w:r>
      <w:r w:rsidRPr="004D34AA">
        <w:rPr>
          <w:rFonts w:ascii="Times New Roman" w:eastAsia="Times New Roman" w:hAnsi="Times New Roman"/>
          <w:noProof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noProof/>
          <w:sz w:val="28"/>
          <w:szCs w:val="28"/>
          <w:lang w:val="uk-UA"/>
        </w:rPr>
        <w:t>єднаний трудовий архів Кропивницького району Кіровоградської області» на 2024 рік  ( кошти місцевого бюджету):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5614"/>
        <w:gridCol w:w="3207"/>
      </w:tblGrid>
      <w:tr w:rsidR="00287369" w14:paraId="5C60E439" w14:textId="77777777" w:rsidTr="00FF7D89">
        <w:tc>
          <w:tcPr>
            <w:tcW w:w="817" w:type="dxa"/>
          </w:tcPr>
          <w:p w14:paraId="537990EF" w14:textId="77777777" w:rsidR="00287369" w:rsidRDefault="00287369" w:rsidP="00FF7D89">
            <w:pPr>
              <w:jc w:val="left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53" w:type="dxa"/>
          </w:tcPr>
          <w:p w14:paraId="79BA0048" w14:textId="77777777" w:rsidR="00287369" w:rsidRDefault="00287369" w:rsidP="00FF7D89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  <w:t>Стаття  видатків</w:t>
            </w:r>
          </w:p>
        </w:tc>
        <w:tc>
          <w:tcPr>
            <w:tcW w:w="3285" w:type="dxa"/>
          </w:tcPr>
          <w:p w14:paraId="6FA9B3BA" w14:textId="77777777" w:rsidR="00287369" w:rsidRDefault="00287369" w:rsidP="00FF7D89">
            <w:pPr>
              <w:jc w:val="left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  <w:t>Сума  грн (за рік)</w:t>
            </w:r>
          </w:p>
        </w:tc>
      </w:tr>
      <w:tr w:rsidR="00287369" w14:paraId="75FA1600" w14:textId="77777777" w:rsidTr="00FF7D89">
        <w:tc>
          <w:tcPr>
            <w:tcW w:w="817" w:type="dxa"/>
          </w:tcPr>
          <w:p w14:paraId="0C205014" w14:textId="77777777" w:rsidR="00287369" w:rsidRPr="003504E2" w:rsidRDefault="00287369" w:rsidP="00FF7D89">
            <w:pPr>
              <w:jc w:val="left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3504E2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5753" w:type="dxa"/>
          </w:tcPr>
          <w:p w14:paraId="4EACBBEC" w14:textId="77777777" w:rsidR="00287369" w:rsidRPr="003504E2" w:rsidRDefault="00287369" w:rsidP="00FF7D89">
            <w:pPr>
              <w:jc w:val="left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3504E2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3285" w:type="dxa"/>
          </w:tcPr>
          <w:p w14:paraId="53B23077" w14:textId="77777777" w:rsidR="00287369" w:rsidRDefault="00287369" w:rsidP="00FF7D89">
            <w:pPr>
              <w:jc w:val="left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  <w:t>156000</w:t>
            </w:r>
          </w:p>
        </w:tc>
      </w:tr>
      <w:tr w:rsidR="00287369" w14:paraId="7B8888A2" w14:textId="77777777" w:rsidTr="00FF7D89">
        <w:tc>
          <w:tcPr>
            <w:tcW w:w="817" w:type="dxa"/>
          </w:tcPr>
          <w:p w14:paraId="162AF6DD" w14:textId="77777777" w:rsidR="00287369" w:rsidRPr="003504E2" w:rsidRDefault="00287369" w:rsidP="00FF7D89">
            <w:pPr>
              <w:jc w:val="left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3504E2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5753" w:type="dxa"/>
          </w:tcPr>
          <w:p w14:paraId="094D2F51" w14:textId="77777777" w:rsidR="00287369" w:rsidRPr="003504E2" w:rsidRDefault="00287369" w:rsidP="00FF7D89">
            <w:pPr>
              <w:jc w:val="left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3504E2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Нарахування  на заробітну плату</w:t>
            </w:r>
          </w:p>
        </w:tc>
        <w:tc>
          <w:tcPr>
            <w:tcW w:w="3285" w:type="dxa"/>
          </w:tcPr>
          <w:p w14:paraId="711CDE49" w14:textId="77777777" w:rsidR="00287369" w:rsidRDefault="00287369" w:rsidP="00FF7D89">
            <w:pPr>
              <w:jc w:val="left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  <w:t>34320</w:t>
            </w:r>
          </w:p>
        </w:tc>
      </w:tr>
      <w:tr w:rsidR="00287369" w14:paraId="0E905B75" w14:textId="77777777" w:rsidTr="00FF7D89">
        <w:tc>
          <w:tcPr>
            <w:tcW w:w="817" w:type="dxa"/>
          </w:tcPr>
          <w:p w14:paraId="3FEEA144" w14:textId="77777777" w:rsidR="00287369" w:rsidRPr="003504E2" w:rsidRDefault="00287369" w:rsidP="00FF7D89">
            <w:pPr>
              <w:jc w:val="left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3504E2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5753" w:type="dxa"/>
          </w:tcPr>
          <w:p w14:paraId="40AD95A1" w14:textId="77777777" w:rsidR="00287369" w:rsidRPr="003504E2" w:rsidRDefault="00287369" w:rsidP="00FF7D89">
            <w:pPr>
              <w:jc w:val="left"/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</w:pPr>
            <w:r w:rsidRPr="003504E2">
              <w:rPr>
                <w:rFonts w:ascii="Times New Roman" w:eastAsia="Times New Roman" w:hAnsi="Times New Roman"/>
                <w:noProof/>
                <w:sz w:val="28"/>
                <w:szCs w:val="28"/>
                <w:lang w:val="uk-UA"/>
              </w:rPr>
              <w:t xml:space="preserve">Оренда приміщення </w:t>
            </w:r>
          </w:p>
        </w:tc>
        <w:tc>
          <w:tcPr>
            <w:tcW w:w="3285" w:type="dxa"/>
          </w:tcPr>
          <w:p w14:paraId="5E5218DA" w14:textId="77777777" w:rsidR="00287369" w:rsidRDefault="00287369" w:rsidP="00FF7D89">
            <w:pPr>
              <w:jc w:val="left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/>
              </w:rPr>
              <w:t>1 грн</w:t>
            </w:r>
          </w:p>
        </w:tc>
      </w:tr>
    </w:tbl>
    <w:p w14:paraId="53115F6F" w14:textId="77777777" w:rsidR="00287369" w:rsidRPr="0097602A" w:rsidRDefault="00287369" w:rsidP="00287369">
      <w:pPr>
        <w:jc w:val="left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</w:p>
    <w:p w14:paraId="5C870D8C" w14:textId="77777777" w:rsidR="00287369" w:rsidRPr="003504E2" w:rsidRDefault="00287369" w:rsidP="00287369">
      <w:pPr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3504E2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Начальник   фінансового   відділу </w:t>
      </w:r>
    </w:p>
    <w:p w14:paraId="441FA719" w14:textId="77777777" w:rsidR="00287369" w:rsidRPr="003504E2" w:rsidRDefault="00287369" w:rsidP="00287369">
      <w:pPr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3504E2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>Первозваніської сільської ради</w:t>
      </w:r>
    </w:p>
    <w:p w14:paraId="0D5A51DC" w14:textId="77777777" w:rsidR="00287369" w:rsidRPr="003504E2" w:rsidRDefault="00287369" w:rsidP="00287369">
      <w:pPr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3504E2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>Кропивницького району</w:t>
      </w:r>
    </w:p>
    <w:p w14:paraId="5D032E5A" w14:textId="77777777" w:rsidR="00287369" w:rsidRPr="003504E2" w:rsidRDefault="00287369" w:rsidP="00287369">
      <w:pPr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3504E2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Кіровоградської області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               </w:t>
      </w:r>
      <w:r w:rsidRPr="003504E2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 Олена ГАВРИЛОВА</w:t>
      </w:r>
    </w:p>
    <w:p w14:paraId="5E160CD5" w14:textId="77777777" w:rsidR="00287369" w:rsidRPr="003504E2" w:rsidRDefault="00287369" w:rsidP="00287369">
      <w:pPr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</w:p>
    <w:p w14:paraId="0EF734ED" w14:textId="77777777" w:rsidR="00287369" w:rsidRPr="002E688D" w:rsidRDefault="00287369" w:rsidP="00287369">
      <w:pPr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 w:rsidRPr="002E688D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Секретар  виконавчого комітету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 xml:space="preserve">                     </w:t>
      </w:r>
      <w:r w:rsidRPr="002E688D">
        <w:rPr>
          <w:rFonts w:ascii="Times New Roman" w:eastAsia="Times New Roman" w:hAnsi="Times New Roman"/>
          <w:b/>
          <w:noProof/>
          <w:sz w:val="28"/>
          <w:szCs w:val="28"/>
          <w:lang w:val="uk-UA"/>
        </w:rPr>
        <w:t>Зоя БОНДАРЕНКО</w:t>
      </w:r>
    </w:p>
    <w:p w14:paraId="0BD7B149" w14:textId="77777777" w:rsidR="00287369" w:rsidRDefault="00287369"/>
    <w:sectPr w:rsidR="00287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69"/>
    <w:rsid w:val="002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C490"/>
  <w15:chartTrackingRefBased/>
  <w15:docId w15:val="{5F947A07-6622-469C-A76E-3DEF85CB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369"/>
    <w:pPr>
      <w:spacing w:after="0" w:line="240" w:lineRule="auto"/>
      <w:jc w:val="both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3219</Words>
  <Characters>1836</Characters>
  <Application>Microsoft Office Word</Application>
  <DocSecurity>0</DocSecurity>
  <Lines>15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1</cp:revision>
  <dcterms:created xsi:type="dcterms:W3CDTF">2024-04-25T08:50:00Z</dcterms:created>
  <dcterms:modified xsi:type="dcterms:W3CDTF">2024-04-25T08:51:00Z</dcterms:modified>
</cp:coreProperties>
</file>