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5" w:rsidRDefault="001B7F35" w:rsidP="001B7F3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 №</w:t>
      </w:r>
      <w:r w:rsidR="00854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4B58" w:rsidRPr="00854B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2567</w:t>
      </w:r>
    </w:p>
    <w:p w:rsidR="00595BCA" w:rsidRPr="00BB380B" w:rsidRDefault="00595BCA" w:rsidP="00595BC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54962" wp14:editId="226D1663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CA" w:rsidRPr="00BB380B" w:rsidRDefault="00595BCA" w:rsidP="005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8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95BCA" w:rsidRPr="00BB380B" w:rsidRDefault="00595BCA" w:rsidP="005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8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95BCA" w:rsidRPr="00BB380B" w:rsidRDefault="001B7F35" w:rsidP="00595BC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</w:t>
      </w:r>
      <w:r w:rsidR="00595BCA" w:rsidRPr="00BB38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595BCA" w:rsidRPr="00BB380B" w:rsidRDefault="00595BCA" w:rsidP="005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8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95BCA" w:rsidRPr="00BB380B" w:rsidRDefault="00595BCA" w:rsidP="00595B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5BCA" w:rsidRPr="00BB380B" w:rsidRDefault="001B7F35" w:rsidP="0059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</w:t>
      </w:r>
      <w:r w:rsidR="00595BCA" w:rsidRPr="00BB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 2024</w:t>
      </w:r>
      <w:r w:rsidR="00595BCA" w:rsidRPr="00BB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</w:t>
      </w:r>
      <w:r w:rsidR="0059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95BCA" w:rsidRPr="00BB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 </w:t>
      </w:r>
    </w:p>
    <w:p w:rsidR="00595BCA" w:rsidRDefault="00595BCA" w:rsidP="0059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90837" w:rsidRPr="00BB380B" w:rsidRDefault="00E90837" w:rsidP="0059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F35" w:rsidRDefault="001B7F35" w:rsidP="001B7F3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Pr="00E90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соціального захисту та соціальної підтримки окремих категорій населення Первозванівської сільської ради на 2024-202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90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</w:t>
      </w:r>
      <w:r w:rsidR="00E37954">
        <w:rPr>
          <w:rFonts w:ascii="Times New Roman" w:hAnsi="Times New Roman" w:cs="Times New Roman"/>
          <w:b/>
          <w:sz w:val="28"/>
          <w:szCs w:val="28"/>
          <w:lang w:val="uk-UA"/>
        </w:rPr>
        <w:t>затвердженої рішенням ХХХ</w:t>
      </w:r>
      <w:r w:rsidR="00E379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0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сесії </w:t>
      </w:r>
      <w:r w:rsidR="00E908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0837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 від 19.12.2023 року № 2269</w:t>
      </w:r>
    </w:p>
    <w:p w:rsidR="00E90837" w:rsidRDefault="00E90837" w:rsidP="001B7F3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15A" w:rsidRPr="003C6375" w:rsidRDefault="00A4229C" w:rsidP="0022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B7">
        <w:rPr>
          <w:rFonts w:ascii="Times New Roman" w:hAnsi="Times New Roman" w:cs="Times New Roman"/>
          <w:sz w:val="28"/>
          <w:szCs w:val="28"/>
          <w:lang w:val="uk-UA"/>
        </w:rPr>
        <w:t>46,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2A8B">
        <w:rPr>
          <w:rFonts w:ascii="Times New Roman" w:hAnsi="Times New Roman" w:cs="Times New Roman"/>
          <w:sz w:val="28"/>
          <w:szCs w:val="28"/>
          <w:lang w:val="uk-UA"/>
        </w:rPr>
        <w:t>, 144</w:t>
      </w:r>
      <w:r w:rsidRPr="007C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, пунктом 22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 59 Закону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5B5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C5B55">
        <w:rPr>
          <w:rFonts w:ascii="Times New Roman" w:hAnsi="Times New Roman" w:cs="Times New Roman"/>
          <w:sz w:val="28"/>
          <w:szCs w:val="28"/>
        </w:rPr>
        <w:t>міс</w:t>
      </w:r>
      <w:r w:rsidR="007A146D">
        <w:rPr>
          <w:rFonts w:ascii="Times New Roman" w:hAnsi="Times New Roman" w:cs="Times New Roman"/>
          <w:sz w:val="28"/>
          <w:szCs w:val="28"/>
        </w:rPr>
        <w:t>цеве</w:t>
      </w:r>
      <w:proofErr w:type="spellEnd"/>
      <w:r w:rsidR="007A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46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A1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146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A146D">
        <w:rPr>
          <w:rFonts w:ascii="Times New Roman" w:hAnsi="Times New Roman" w:cs="Times New Roman"/>
          <w:sz w:val="28"/>
          <w:szCs w:val="28"/>
        </w:rPr>
        <w:t>”</w:t>
      </w:r>
      <w:r w:rsidR="007A146D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</w:t>
      </w:r>
      <w:r w:rsidR="0022715A" w:rsidRPr="0022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постійних комісій </w:t>
      </w:r>
      <w:r w:rsidR="0022715A" w:rsidRPr="006C0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бюджету, фінансів, </w:t>
      </w:r>
      <w:proofErr w:type="gramStart"/>
      <w:r w:rsidR="0022715A" w:rsidRPr="006C0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 w:rsidR="0022715A" w:rsidRPr="006C0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22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</w:t>
      </w:r>
      <w:r w:rsidR="0022715A" w:rsidRPr="0091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освіти, культури, охорони здоров’я, спорту, молодіжної політики та соціального захисту населення</w:t>
      </w:r>
      <w:r w:rsidR="0022715A" w:rsidRPr="003C6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715A" w:rsidRPr="003C6375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сільська рада </w:t>
      </w:r>
    </w:p>
    <w:p w:rsidR="00A4229C" w:rsidRPr="00620FB3" w:rsidRDefault="00A4229C" w:rsidP="00A4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FB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232B1" w:rsidRPr="00410438" w:rsidRDefault="00620FB3" w:rsidP="00C232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043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10438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Первозванівської сільської ради від 19 грудня 2023 року № </w:t>
      </w:r>
      <w:r w:rsidR="00DE4E48" w:rsidRPr="00410438">
        <w:rPr>
          <w:rFonts w:ascii="Times New Roman" w:hAnsi="Times New Roman" w:cs="Times New Roman"/>
          <w:sz w:val="28"/>
          <w:szCs w:val="28"/>
          <w:lang w:val="uk-UA"/>
        </w:rPr>
        <w:t>2269</w:t>
      </w:r>
      <w:r w:rsidRPr="0041043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DE4E48" w:rsidRPr="004104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10438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DE4E48" w:rsidRPr="00410438">
        <w:rPr>
          <w:rFonts w:ascii="Times New Roman" w:hAnsi="Times New Roman" w:cs="Times New Roman"/>
          <w:sz w:val="28"/>
          <w:szCs w:val="28"/>
          <w:lang w:val="uk-UA"/>
        </w:rPr>
        <w:t>соціального захисту та соціальної підтримки окремих категорій населення Первозванівської сільської ради на 2024-2025 роки</w:t>
      </w:r>
      <w:r w:rsidRPr="004104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32B1" w:rsidRPr="00410438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E27FD2" w:rsidRPr="00E27FD2" w:rsidRDefault="00C232B1" w:rsidP="00E27FD2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рішення </w:t>
      </w:r>
      <w:r w:rsidR="00410438" w:rsidRPr="00E27FD2">
        <w:rPr>
          <w:rFonts w:ascii="Times New Roman" w:hAnsi="Times New Roman" w:cs="Times New Roman"/>
          <w:sz w:val="28"/>
          <w:szCs w:val="28"/>
          <w:lang w:val="uk-UA"/>
        </w:rPr>
        <w:t>пунктом 4 такого змісту «Затвердити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652" w:rsidRPr="00E27FD2">
        <w:rPr>
          <w:rFonts w:ascii="Times New Roman" w:hAnsi="Times New Roman" w:cs="Times New Roman"/>
          <w:sz w:val="28"/>
          <w:szCs w:val="28"/>
          <w:lang w:val="uk-UA"/>
        </w:rPr>
        <w:t>Порядок надання одноразової матеріальної допомоги сім’ям померлих</w:t>
      </w:r>
      <w:r w:rsidR="00407D6C">
        <w:rPr>
          <w:rFonts w:ascii="Times New Roman" w:hAnsi="Times New Roman" w:cs="Times New Roman"/>
          <w:sz w:val="28"/>
          <w:szCs w:val="28"/>
          <w:lang w:val="uk-UA"/>
        </w:rPr>
        <w:t xml:space="preserve"> (загиблих)</w:t>
      </w:r>
      <w:r w:rsidR="00953F78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 в Афганістані </w:t>
      </w:r>
      <w:r w:rsidR="008E2820" w:rsidRPr="00E27FD2">
        <w:rPr>
          <w:rFonts w:ascii="Times New Roman" w:hAnsi="Times New Roman" w:cs="Times New Roman"/>
          <w:sz w:val="28"/>
          <w:szCs w:val="28"/>
          <w:lang w:val="uk-UA"/>
        </w:rPr>
        <w:t>та осіб</w:t>
      </w:r>
      <w:r w:rsidR="003B3554" w:rsidRPr="00E27FD2">
        <w:rPr>
          <w:rFonts w:ascii="Times New Roman" w:hAnsi="Times New Roman" w:cs="Times New Roman"/>
          <w:sz w:val="28"/>
          <w:szCs w:val="28"/>
          <w:lang w:val="uk-UA"/>
        </w:rPr>
        <w:t>, які приймали участь в збройних конфліктах на території інших держав</w:t>
      </w:r>
      <w:r w:rsidR="008E2820" w:rsidRPr="00E27F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3554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E73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E27FD2" w:rsidRPr="00AB5E73" w:rsidRDefault="00E27FD2" w:rsidP="00E27FD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E73">
        <w:rPr>
          <w:rFonts w:ascii="Times New Roman" w:hAnsi="Times New Roman" w:cs="Times New Roman"/>
          <w:sz w:val="28"/>
          <w:szCs w:val="28"/>
          <w:lang w:val="uk-UA"/>
        </w:rPr>
        <w:t>Відповідно пункт 4 вважати пунктом 5.</w:t>
      </w:r>
    </w:p>
    <w:p w:rsidR="00620FB3" w:rsidRPr="00AB5E73" w:rsidRDefault="00475FD3" w:rsidP="00620F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 Н</w:t>
      </w:r>
      <w:r w:rsidR="00620FB3" w:rsidRPr="00AB5E73">
        <w:rPr>
          <w:rFonts w:ascii="Times New Roman" w:hAnsi="Times New Roman" w:cs="Times New Roman"/>
          <w:sz w:val="28"/>
          <w:szCs w:val="28"/>
          <w:lang w:val="uk-UA"/>
        </w:rPr>
        <w:t xml:space="preserve">апрями реалізації та заходи </w:t>
      </w:r>
      <w:r w:rsidR="007F6782" w:rsidRPr="00AB5E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20FB3" w:rsidRPr="00AB5E73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7F6782" w:rsidRPr="00AB5E73">
        <w:rPr>
          <w:rFonts w:ascii="Times New Roman" w:hAnsi="Times New Roman" w:cs="Times New Roman"/>
          <w:sz w:val="28"/>
          <w:szCs w:val="28"/>
          <w:lang w:val="uk-UA"/>
        </w:rPr>
        <w:t>соціального захисту та соціальної підтримки окремих категорій населення Первозванівської сільської ради</w:t>
      </w:r>
      <w:r w:rsidR="00620FB3" w:rsidRPr="00AB5E73">
        <w:rPr>
          <w:rFonts w:ascii="Times New Roman" w:hAnsi="Times New Roman" w:cs="Times New Roman"/>
          <w:sz w:val="28"/>
          <w:szCs w:val="28"/>
          <w:lang w:val="uk-UA"/>
        </w:rPr>
        <w:t xml:space="preserve"> на 2024-2025 роки </w:t>
      </w:r>
      <w:r w:rsidR="00677E7A">
        <w:rPr>
          <w:rFonts w:ascii="Times New Roman" w:hAnsi="Times New Roman" w:cs="Times New Roman"/>
          <w:sz w:val="28"/>
          <w:szCs w:val="28"/>
          <w:lang w:val="uk-UA"/>
        </w:rPr>
        <w:t>викласти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</w:t>
      </w:r>
      <w:r w:rsidRPr="00475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B3" w:rsidRPr="00AB5E73"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:rsidR="00620FB3" w:rsidRDefault="00620FB3" w:rsidP="0062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FB3" w:rsidRDefault="00620FB3" w:rsidP="00620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802C5B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802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20FB3" w:rsidRDefault="00620FB3" w:rsidP="00620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FD3" w:rsidRDefault="00475FD3" w:rsidP="00DB4B8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uk-UA" w:eastAsia="ru-RU"/>
        </w:rPr>
      </w:pPr>
    </w:p>
    <w:p w:rsidR="00DB4B8E" w:rsidRPr="007C4DAB" w:rsidRDefault="00C47949" w:rsidP="00DB4B8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Додаток 1</w:t>
      </w:r>
    </w:p>
    <w:p w:rsidR="00DB4B8E" w:rsidRPr="007C4DAB" w:rsidRDefault="00DB4B8E" w:rsidP="00DB4B8E">
      <w:pPr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ЗАТВЕРДЖЕНО</w:t>
      </w:r>
    </w:p>
    <w:p w:rsidR="00DB4B8E" w:rsidRPr="007C4DAB" w:rsidRDefault="00DB4B8E" w:rsidP="00DB4B8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рішенням </w:t>
      </w:r>
      <w:r w:rsidR="00C47949"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</w:t>
      </w: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сесії </w:t>
      </w:r>
      <w:r w:rsidRPr="007C4DA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ІІІ скликання Первозванівської сільської ради</w:t>
      </w:r>
    </w:p>
    <w:p w:rsidR="00DB4B8E" w:rsidRPr="007C4DAB" w:rsidRDefault="00C47949" w:rsidP="00DB4B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___.___.2024 року № _____</w:t>
      </w:r>
    </w:p>
    <w:p w:rsidR="00DB4B8E" w:rsidRPr="00DB4B8E" w:rsidRDefault="00DB4B8E" w:rsidP="00DB4B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</w:pPr>
    </w:p>
    <w:p w:rsidR="00DB4B8E" w:rsidRPr="00DB4B8E" w:rsidRDefault="00DB4B8E" w:rsidP="00DB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</w:t>
      </w:r>
    </w:p>
    <w:p w:rsidR="00DB4B8E" w:rsidRPr="00DB4B8E" w:rsidRDefault="00DB4B8E" w:rsidP="00DB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одноразової матеріальної допомоги сім’ям </w:t>
      </w:r>
      <w:r w:rsidR="00FA213A" w:rsidRPr="00FA2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померлих </w:t>
      </w:r>
      <w:r w:rsidR="00407D6C" w:rsidRPr="00407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(загиблих) </w:t>
      </w:r>
      <w:r w:rsidR="00FA213A" w:rsidRPr="00FA213A">
        <w:rPr>
          <w:rFonts w:ascii="Times New Roman" w:hAnsi="Times New Roman" w:cs="Times New Roman"/>
          <w:b/>
          <w:sz w:val="28"/>
          <w:szCs w:val="28"/>
          <w:lang w:val="uk-UA"/>
        </w:rPr>
        <w:t>учасників бойових дій в Афганістані та осіб, які приймали участь в збройних конфліктах на території інших держав</w:t>
      </w:r>
    </w:p>
    <w:p w:rsidR="00DB4B8E" w:rsidRPr="00DB4B8E" w:rsidRDefault="00DB4B8E" w:rsidP="00DB4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DB4B8E" w:rsidRPr="00DB4B8E" w:rsidRDefault="00DB4B8E" w:rsidP="00DB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:rsidR="00DB4B8E" w:rsidRPr="00DB4B8E" w:rsidRDefault="00DB4B8E" w:rsidP="00407D6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надання одноразової матеріальної допомоги з сільського бюджету для надання матеріальної допомоги сім’ям </w:t>
      </w:r>
      <w:r w:rsidR="00B74385"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померлих </w:t>
      </w:r>
      <w:r w:rsidR="00407D6C" w:rsidRPr="0040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(загиблих) </w:t>
      </w:r>
      <w:r w:rsidR="00B74385"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бойових дій в Афганістані та осіб, які приймали участь в збройних конфліктах на території інших держав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Порядок) визначає механізм використання коштів сільського бюджету для надання матеріальної допомоги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розмірі 10,0 тис. гривень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сім’ям </w:t>
      </w:r>
      <w:r w:rsidR="00B74385"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померлих</w:t>
      </w:r>
      <w:r w:rsidR="0040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D6C" w:rsidRPr="0040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(загиблих) </w:t>
      </w:r>
      <w:r w:rsidR="00B74385"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до моменту </w:t>
      </w:r>
      <w:r w:rsidR="00714A1B"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смерті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зареєстровані на території Первозванівської сільської ради. </w:t>
      </w:r>
    </w:p>
    <w:p w:rsidR="00DB4B8E" w:rsidRPr="00DB4B8E" w:rsidRDefault="00DB4B8E" w:rsidP="00714A1B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розроблений відповідно до </w:t>
      </w:r>
      <w:r w:rsidR="00714A1B" w:rsidRPr="00B31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</w:t>
      </w:r>
      <w:r w:rsidR="00B312DC" w:rsidRPr="00B312DC">
        <w:rPr>
          <w:rFonts w:ascii="Times New Roman" w:hAnsi="Times New Roman" w:cs="Times New Roman"/>
          <w:sz w:val="28"/>
          <w:szCs w:val="28"/>
          <w:lang w:val="uk-UA"/>
        </w:rPr>
        <w:t>соціального захисту та соціальної підтримки окремих категорій населення Первозванівської сільської ради на 2024-2025 роки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сесії Первоз</w:t>
      </w:r>
      <w:r w:rsidR="00B312DC" w:rsidRPr="00B31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ванівської сільської ради від 19</w:t>
      </w:r>
      <w:r w:rsidR="00B312DC" w:rsidRPr="00B312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грудня 2023 року № 2269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DB4B8E" w:rsidRPr="00DB4B8E" w:rsidRDefault="00DB4B8E" w:rsidP="00B312D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розпорядником коштів, передбачених у сільському бюджеті для надання одноразової матеріальної допомоги, що надається згідно з цим Порядком, є Первозванівська сільська рада.</w:t>
      </w:r>
    </w:p>
    <w:p w:rsidR="00DB4B8E" w:rsidRPr="00DB4B8E" w:rsidRDefault="00DB4B8E" w:rsidP="00272905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Первозванівська сільська рада здійснює виплату матеріальної допомоги сім’ям </w:t>
      </w:r>
      <w:r w:rsidR="00272905" w:rsidRPr="00E17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померлих</w:t>
      </w:r>
      <w:r w:rsidR="00F2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52B1">
        <w:rPr>
          <w:rFonts w:ascii="Times New Roman" w:hAnsi="Times New Roman" w:cs="Times New Roman"/>
          <w:sz w:val="28"/>
          <w:szCs w:val="28"/>
          <w:lang w:val="uk-UA"/>
        </w:rPr>
        <w:t>(загиблих)</w:t>
      </w:r>
      <w:r w:rsidR="00272905" w:rsidRPr="00E17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рішення комісії з питань надання матеріальної допомоги окремим категоріям громадян (далі - Комісія) у встановленому законодавством порядку шляхом зарахування на особистий рахунок члена сім’ї </w:t>
      </w:r>
      <w:r w:rsidR="00E17988" w:rsidRPr="005C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померлого</w:t>
      </w:r>
      <w:r w:rsidR="00F2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52B1"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988" w:rsidRPr="005C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бойових 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відкритий у банківській установі, та в межах асигнувань, передбачених в сільському бюджеті на відповідний рік.</w:t>
      </w:r>
    </w:p>
    <w:p w:rsidR="00DB4B8E" w:rsidRPr="00DB4B8E" w:rsidRDefault="00DB4B8E" w:rsidP="0028283A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Бюджетні кошти спрямовуються одному із членів сім’ї </w:t>
      </w:r>
      <w:r w:rsidR="005C2DD5" w:rsidRPr="001A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померлого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52B1"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="00F252B1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83A" w:rsidRPr="001A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бойових дій</w:t>
      </w:r>
      <w:r w:rsidR="0028283A" w:rsidRPr="001A67FB">
        <w:rPr>
          <w:lang w:val="uk-UA"/>
        </w:rPr>
        <w:t xml:space="preserve"> </w:t>
      </w:r>
      <w:r w:rsidR="0028283A" w:rsidRPr="001A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зареєстрований на території сільської ради. </w:t>
      </w:r>
    </w:p>
    <w:p w:rsidR="00DB4B8E" w:rsidRPr="00DB4B8E" w:rsidRDefault="00DB4B8E" w:rsidP="00DB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членів сім’ї </w:t>
      </w:r>
      <w:r w:rsidR="001A67FB" w:rsidRPr="00F6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померлого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40F1">
        <w:rPr>
          <w:rFonts w:ascii="Times New Roman" w:hAnsi="Times New Roman" w:cs="Times New Roman"/>
          <w:sz w:val="28"/>
          <w:szCs w:val="28"/>
          <w:lang w:val="uk-UA"/>
        </w:rPr>
        <w:t>(загиблого</w:t>
      </w:r>
      <w:r w:rsidR="00F252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52B1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7FB" w:rsidRPr="00F6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бойових дій</w:t>
      </w:r>
      <w:r w:rsidR="001A67FB" w:rsidRPr="00F66AEF">
        <w:rPr>
          <w:lang w:val="uk-UA"/>
        </w:rPr>
        <w:t xml:space="preserve"> </w:t>
      </w:r>
      <w:r w:rsidR="001A67FB" w:rsidRPr="00F6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належать:</w:t>
      </w:r>
    </w:p>
    <w:p w:rsidR="00DB4B8E" w:rsidRPr="00DB4B8E" w:rsidRDefault="00DB4B8E" w:rsidP="00DB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дружина (чоловік); </w:t>
      </w:r>
    </w:p>
    <w:p w:rsidR="00DB4B8E" w:rsidRPr="00DB4B8E" w:rsidRDefault="00DB4B8E" w:rsidP="0023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з дітей</w:t>
      </w:r>
      <w:r w:rsidR="00230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4B8E" w:rsidRPr="00DB4B8E" w:rsidRDefault="00DB4B8E" w:rsidP="00F16609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 осіб, отримані у зв’язку з реалізацією цього Порядку, збираються, обробляються та використовуються відповідно до Закону України «Про захист персональних даних».</w:t>
      </w:r>
    </w:p>
    <w:p w:rsidR="00DB4B8E" w:rsidRPr="00DB4B8E" w:rsidRDefault="00DB4B8E" w:rsidP="00DB4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:rsidR="00DB4B8E" w:rsidRPr="00DB4B8E" w:rsidRDefault="00DB4B8E" w:rsidP="00DB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ІІ. Умови 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</w:t>
      </w:r>
      <w:r w:rsidR="00864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ння матеріальної допомоги сім’ї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16609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померлого</w:t>
      </w:r>
      <w:r w:rsidR="00F16609"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4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(загиблого</w:t>
      </w:r>
      <w:r w:rsidR="00CD40F1" w:rsidRPr="00CD4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="00F16609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бойових дій</w:t>
      </w:r>
      <w:r w:rsidR="00F16609" w:rsidRPr="00F16609">
        <w:rPr>
          <w:b/>
          <w:lang w:val="uk-UA"/>
        </w:rPr>
        <w:t xml:space="preserve"> </w:t>
      </w:r>
      <w:r w:rsidR="00F16609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</w:p>
    <w:p w:rsidR="00DB4B8E" w:rsidRPr="00DB4B8E" w:rsidRDefault="00DB4B8E" w:rsidP="00DB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Для отримання матеріальної допомоги члени сім’ї </w:t>
      </w:r>
      <w:r w:rsidR="00DE7A2C"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померлого</w:t>
      </w:r>
      <w:r w:rsidR="00CD40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CD40F1"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="00CD40F1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A2C"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учасника бойових дій в Афганістані та осіб, які приймали участь в збройних конфліктах на території інших держав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звертаються до</w:t>
      </w:r>
      <w:r w:rsidRPr="00DB4B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сільської ради та подають такі документи: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заяву (у довільній формі);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згоду на обробку та використання персональних даних.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До заяви додаються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копія </w:t>
      </w:r>
      <w:r w:rsidR="00AF60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документів, що підтверджують статус </w:t>
      </w:r>
      <w:r w:rsidR="008E031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померлого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56416"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="00956416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62C"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учасника бойових </w:t>
      </w:r>
      <w:r w:rsidR="0031062C" w:rsidRPr="00757FE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свідоцтва про смерть</w:t>
      </w:r>
      <w:r w:rsidRPr="00DB4B8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 </w:t>
      </w:r>
      <w:r w:rsidR="0031062C"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учасника бойових </w:t>
      </w:r>
      <w:r w:rsidR="0031062C" w:rsidRPr="00757FE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лікарського свідоцтва про смерть;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свідоцтва про шлюб - для виплати матеріальної допомоги дружині (чоловікові);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свідоцтва про народження дитини - для виплати матеріальної допомоги дитині;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копія документів (відповідних сторінок за наявності), що посвідчують особу членів сім’ї </w:t>
      </w:r>
      <w:r w:rsidR="007E5092" w:rsidRPr="00B50A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учасника бойових 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(паспорт громадянина України тощо), та довідки про реєстрацію місця проживання (у разі коли відомості про реєстрацію місця проживання до таких документів не внесені);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документа, що засвідчує реєстрацію фізичної особи в Державному реєстрі фізичних осіб - платників податків (крім фізичної особи, яка через свої релігійні переконання відмовляється від прийняття реєстраційного номера облікової картки платника податків відповідно до закону);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банківські реквізити заявника.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 час подання копій документів, заявники надають їх оригінали для огляду.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:rsidR="00864F77" w:rsidRPr="00DB4B8E" w:rsidRDefault="00DB4B8E" w:rsidP="00864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ІІІ. Порядок нада</w:t>
      </w:r>
      <w:r w:rsidR="00864F7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ння матеріальної допомоги сім’ї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864F77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померлого</w:t>
      </w:r>
      <w:r w:rsidR="00864F77"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56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(загиблого</w:t>
      </w:r>
      <w:r w:rsidR="00956416" w:rsidRPr="00956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="00864F77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бойових дій</w:t>
      </w:r>
      <w:r w:rsidR="00864F77" w:rsidRPr="00F16609">
        <w:rPr>
          <w:b/>
          <w:lang w:val="uk-UA"/>
        </w:rPr>
        <w:t xml:space="preserve"> </w:t>
      </w:r>
      <w:r w:rsidR="00864F77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</w:p>
    <w:p w:rsidR="00DB4B8E" w:rsidRPr="00DB4B8E" w:rsidRDefault="00DB4B8E" w:rsidP="00526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Заяви з усіма необхідними документами членів сім’ї </w:t>
      </w:r>
      <w:r w:rsidR="006A04CA" w:rsidRPr="006A04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померлого </w:t>
      </w:r>
      <w:r w:rsidR="00956416"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="00956416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4CA" w:rsidRPr="006A04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учасника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одержані від сільської ради розглядаються Комісією. </w:t>
      </w:r>
    </w:p>
    <w:p w:rsidR="00DB4B8E" w:rsidRPr="00DB4B8E" w:rsidRDefault="00DB4B8E" w:rsidP="006A04C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Основною формою діяльності Комісії є засідання, які проводяться за необхідності.</w:t>
      </w:r>
    </w:p>
    <w:p w:rsidR="00DB4B8E" w:rsidRPr="00DB4B8E" w:rsidRDefault="00DB4B8E" w:rsidP="006A04C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Засідання Комісії проводить її голова.</w:t>
      </w:r>
    </w:p>
    <w:p w:rsidR="00DB4B8E" w:rsidRPr="00DB4B8E" w:rsidRDefault="00DB4B8E" w:rsidP="006A04C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Подання необхідних документів на розгляд Комісії, оформлення протоколів засідань і витягів з них проводиться секретарем Комісії.</w:t>
      </w:r>
    </w:p>
    <w:p w:rsidR="00DB4B8E" w:rsidRPr="00DB4B8E" w:rsidRDefault="00DB4B8E" w:rsidP="008D3A7E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Рішення приймається відкритим голосуванням і вважається прийнятим, якщо за нього проголосувала більшість присутніх на засіданні членів Комісії.</w:t>
      </w:r>
    </w:p>
    <w:p w:rsidR="00DB4B8E" w:rsidRPr="00DB4B8E" w:rsidRDefault="00DB4B8E" w:rsidP="008D3A7E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результатами розгляду документів членів сім’ї Комісією приймається рішення щодо надання (або відмови у наданні) матеріальної допомоги, яке оформляється протоколом. Протокол засідання підписується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головою, секретарем та всіма присутніми на засіданні членами Комісії, витяг з протоколу – головою та секретарем Комісії.</w:t>
      </w:r>
    </w:p>
    <w:p w:rsidR="00DB4B8E" w:rsidRPr="00DB4B8E" w:rsidRDefault="00DB4B8E" w:rsidP="00DB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:rsidR="007855E2" w:rsidRPr="00DB4B8E" w:rsidRDefault="00DB4B8E" w:rsidP="007855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Виплата матеріальної допомоги </w:t>
      </w:r>
      <w:r w:rsidR="0078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сім’ї</w:t>
      </w:r>
      <w:r w:rsidR="007855E2"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7855E2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померлого</w:t>
      </w:r>
      <w:r w:rsidR="00ED2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D2617" w:rsidRPr="00ED2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(загиб</w:t>
      </w:r>
      <w:r w:rsidR="00ED2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лого</w:t>
      </w:r>
      <w:r w:rsidR="00ED2617" w:rsidRPr="00ED2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="007855E2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бойових дій</w:t>
      </w:r>
      <w:r w:rsidR="007855E2" w:rsidRPr="00F16609">
        <w:rPr>
          <w:b/>
          <w:lang w:val="uk-UA"/>
        </w:rPr>
        <w:t xml:space="preserve"> </w:t>
      </w:r>
      <w:r w:rsidR="007855E2"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</w:p>
    <w:p w:rsidR="00DB4B8E" w:rsidRPr="00DB4B8E" w:rsidRDefault="00DB4B8E" w:rsidP="00785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Після прийняття рішення Комісії щодо надання матеріальної допомоги членам </w:t>
      </w:r>
      <w:r w:rsidR="00396303" w:rsidRPr="003963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сім’ї померлого </w:t>
      </w:r>
      <w:r w:rsidR="00ED2617"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="00ED2617"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03" w:rsidRPr="003963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учасника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сільська рада здійснює виплату матеріальної допомоги шляхом перерахування коштів на особисті рахунки заявників в установі банку.</w:t>
      </w:r>
    </w:p>
    <w:p w:rsidR="00DB4B8E" w:rsidRPr="00DB4B8E" w:rsidRDefault="00DB4B8E" w:rsidP="00DB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Виплата матеріальної допомоги здійснюється в порядку черговості відповідно до дати подання документів.</w:t>
      </w:r>
    </w:p>
    <w:p w:rsidR="00DB4B8E" w:rsidRPr="00DB4B8E" w:rsidRDefault="00DB4B8E" w:rsidP="00DB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Видатки, пов’язані з наданням матеріальної допомоги, здійснюються у межах коштів сільського бюджету, передбачених на цю мету. </w:t>
      </w:r>
    </w:p>
    <w:p w:rsidR="00DB4B8E" w:rsidRPr="00DB4B8E" w:rsidRDefault="00DB4B8E" w:rsidP="00DB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Реєстрація зобов’язань, фінансування видатків, пов’язаних з наданням допомоги, та проведення таких виплат громадянам здійснюються у межах асигнувань відповідно до помісячного розпису видатків сільського бюджету.</w:t>
      </w:r>
    </w:p>
    <w:p w:rsidR="00DB4B8E" w:rsidRPr="00DB4B8E" w:rsidRDefault="00DB4B8E" w:rsidP="00DB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:rsidR="00DB4B8E" w:rsidRPr="00DB4B8E" w:rsidRDefault="00DB4B8E" w:rsidP="00DB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Бухгалтерський облік та контроль</w:t>
      </w:r>
    </w:p>
    <w:p w:rsidR="00DB4B8E" w:rsidRPr="00DB4B8E" w:rsidRDefault="00DB4B8E" w:rsidP="00DB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:rsidR="00DB4B8E" w:rsidRPr="00DB4B8E" w:rsidRDefault="00DB4B8E" w:rsidP="00145E56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Ведення бухгалтерського обліку, відкриття рахунків, реєстрація, облік бюджетних зобов’язань в органах Казначейства та проведення операцій, пов’язаних з використанням бюджетних коштів, здійснюються в установленому законодавством порядку відділом бухгалтерського обліку та звітності Первозванівської сільської ради.</w:t>
      </w:r>
    </w:p>
    <w:p w:rsidR="00DB4B8E" w:rsidRPr="00DB4B8E" w:rsidRDefault="00DB4B8E" w:rsidP="00145E56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цільовим та ефективним використанням коштів сільського бюджету, складання та подання фінансової звітності здійснюється фінансовим відділом Первозванівської сільської ради в установ</w:t>
      </w:r>
      <w:r w:rsidR="00145E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леному законодавством порядку.</w:t>
      </w:r>
    </w:p>
    <w:p w:rsidR="00DB4B8E" w:rsidRPr="00DB4B8E" w:rsidRDefault="00DB4B8E" w:rsidP="00145E5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_________________________________________________________________</w:t>
      </w:r>
    </w:p>
    <w:p w:rsidR="00E90837" w:rsidRPr="00145E56" w:rsidRDefault="00E90837" w:rsidP="00145E5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85DBC" w:rsidRDefault="00A85DBC">
      <w:pPr>
        <w:rPr>
          <w:lang w:val="uk-UA"/>
        </w:rPr>
      </w:pPr>
    </w:p>
    <w:p w:rsidR="001E648E" w:rsidRDefault="001E648E">
      <w:pPr>
        <w:rPr>
          <w:lang w:val="uk-UA"/>
        </w:rPr>
      </w:pPr>
      <w:r>
        <w:rPr>
          <w:lang w:val="uk-UA"/>
        </w:rPr>
        <w:br w:type="page"/>
      </w:r>
    </w:p>
    <w:p w:rsidR="001E648E" w:rsidRDefault="001E648E">
      <w:pPr>
        <w:rPr>
          <w:lang w:val="uk-UA"/>
        </w:rPr>
        <w:sectPr w:rsidR="001E648E" w:rsidSect="00595BCA">
          <w:pgSz w:w="11910" w:h="16840"/>
          <w:pgMar w:top="567" w:right="567" w:bottom="567" w:left="1701" w:header="720" w:footer="720" w:gutter="0"/>
          <w:cols w:space="708"/>
          <w:docGrid w:linePitch="299"/>
        </w:sectPr>
      </w:pPr>
    </w:p>
    <w:p w:rsidR="001E648E" w:rsidRPr="001E648E" w:rsidRDefault="001E648E" w:rsidP="001E648E">
      <w:pPr>
        <w:widowControl w:val="0"/>
        <w:autoSpaceDE w:val="0"/>
        <w:autoSpaceDN w:val="0"/>
        <w:spacing w:before="75" w:after="0" w:line="322" w:lineRule="exact"/>
        <w:ind w:left="10206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E648E">
        <w:rPr>
          <w:rFonts w:ascii="Times New Roman" w:eastAsia="Times New Roman" w:hAnsi="Times New Roman" w:cs="Times New Roman"/>
          <w:spacing w:val="-2"/>
          <w:sz w:val="24"/>
          <w:szCs w:val="28"/>
          <w:lang w:val="uk-UA"/>
        </w:rPr>
        <w:lastRenderedPageBreak/>
        <w:t>Додаток</w:t>
      </w:r>
      <w:r w:rsidR="00D334CD">
        <w:rPr>
          <w:rFonts w:ascii="Times New Roman" w:eastAsia="Times New Roman" w:hAnsi="Times New Roman" w:cs="Times New Roman"/>
          <w:spacing w:val="-2"/>
          <w:sz w:val="24"/>
          <w:szCs w:val="28"/>
          <w:lang w:val="uk-UA"/>
        </w:rPr>
        <w:t xml:space="preserve"> 2</w:t>
      </w:r>
    </w:p>
    <w:p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E648E">
        <w:rPr>
          <w:rFonts w:ascii="Times New Roman" w:eastAsia="Times New Roman" w:hAnsi="Times New Roman" w:cs="Times New Roman"/>
          <w:sz w:val="24"/>
          <w:szCs w:val="28"/>
          <w:lang w:val="uk-UA"/>
        </w:rPr>
        <w:t>до</w:t>
      </w:r>
      <w:r w:rsidRPr="001E648E">
        <w:rPr>
          <w:rFonts w:ascii="Times New Roman" w:eastAsia="Times New Roman" w:hAnsi="Times New Roman" w:cs="Times New Roman"/>
          <w:spacing w:val="-12"/>
          <w:sz w:val="24"/>
          <w:szCs w:val="28"/>
          <w:lang w:val="uk-UA"/>
        </w:rPr>
        <w:t xml:space="preserve"> </w:t>
      </w:r>
      <w:r w:rsidR="00D334CD">
        <w:rPr>
          <w:rFonts w:ascii="Times New Roman" w:eastAsia="Times New Roman" w:hAnsi="Times New Roman" w:cs="Times New Roman"/>
          <w:sz w:val="24"/>
          <w:szCs w:val="28"/>
          <w:lang w:val="uk-UA"/>
        </w:rPr>
        <w:t>рішення Первозванівської сільської ради від __. __.2024 року № ___</w:t>
      </w:r>
    </w:p>
    <w:p w:rsidR="001E648E" w:rsidRPr="001E648E" w:rsidRDefault="001E648E" w:rsidP="001E648E">
      <w:pPr>
        <w:widowControl w:val="0"/>
        <w:autoSpaceDE w:val="0"/>
        <w:autoSpaceDN w:val="0"/>
        <w:spacing w:before="144"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64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НАПРЯМИ</w:t>
      </w:r>
      <w:r w:rsidRPr="001E648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РЕАЛІЗАЦІЇ</w:t>
      </w:r>
      <w:r w:rsidRPr="001E64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1E648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ЗАХОДИ</w:t>
      </w:r>
    </w:p>
    <w:p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Програми</w:t>
      </w:r>
      <w:r w:rsidRPr="001E648E">
        <w:rPr>
          <w:rFonts w:ascii="Times New Roman" w:eastAsia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соціального</w:t>
      </w:r>
      <w:r w:rsidRPr="001E648E">
        <w:rPr>
          <w:rFonts w:ascii="Times New Roman" w:eastAsia="Times New Roman" w:hAnsi="Times New Roman" w:cs="Times New Roman"/>
          <w:b/>
          <w:spacing w:val="-10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захисту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соціальної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підтримки</w:t>
      </w:r>
      <w:r w:rsidRPr="001E648E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окремих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категорій</w:t>
      </w:r>
      <w:r w:rsidRPr="001E648E">
        <w:rPr>
          <w:rFonts w:ascii="Times New Roman" w:eastAsia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населення </w:t>
      </w:r>
      <w:r w:rsidRPr="001E64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на 2024-2025 роки</w:t>
      </w:r>
    </w:p>
    <w:p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539"/>
        <w:gridCol w:w="1362"/>
        <w:gridCol w:w="2901"/>
        <w:gridCol w:w="1245"/>
        <w:gridCol w:w="1534"/>
        <w:gridCol w:w="1245"/>
        <w:gridCol w:w="1204"/>
        <w:gridCol w:w="4592"/>
      </w:tblGrid>
      <w:tr w:rsidR="001E648E" w:rsidRPr="001E648E" w:rsidTr="00C34292">
        <w:trPr>
          <w:trHeight w:val="320"/>
          <w:jc w:val="center"/>
        </w:trPr>
        <w:tc>
          <w:tcPr>
            <w:tcW w:w="394" w:type="dxa"/>
            <w:vMerge w:val="restart"/>
          </w:tcPr>
          <w:p w:rsidR="001E648E" w:rsidRPr="001E648E" w:rsidRDefault="001E648E" w:rsidP="001E648E">
            <w:pPr>
              <w:spacing w:before="58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>№</w:t>
            </w:r>
            <w:r w:rsidRPr="001E648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з/п</w:t>
            </w:r>
          </w:p>
        </w:tc>
        <w:tc>
          <w:tcPr>
            <w:tcW w:w="1539" w:type="dxa"/>
            <w:vMerge w:val="restart"/>
          </w:tcPr>
          <w:p w:rsidR="001E648E" w:rsidRPr="001E648E" w:rsidRDefault="001E648E" w:rsidP="001E648E">
            <w:pPr>
              <w:spacing w:before="58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Назва</w:t>
            </w:r>
            <w:r w:rsidRPr="001E648E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напряму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реалізації (пріоритетні</w:t>
            </w:r>
          </w:p>
          <w:p w:rsidR="001E648E" w:rsidRPr="001E648E" w:rsidRDefault="001E648E" w:rsidP="001E648E">
            <w:pPr>
              <w:spacing w:before="1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завдання)</w:t>
            </w:r>
          </w:p>
        </w:tc>
        <w:tc>
          <w:tcPr>
            <w:tcW w:w="1362" w:type="dxa"/>
            <w:vMerge w:val="restart"/>
          </w:tcPr>
          <w:p w:rsidR="001E648E" w:rsidRPr="001E648E" w:rsidRDefault="001E648E" w:rsidP="001E648E">
            <w:pPr>
              <w:spacing w:before="5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Виконавці</w:t>
            </w:r>
          </w:p>
        </w:tc>
        <w:tc>
          <w:tcPr>
            <w:tcW w:w="2901" w:type="dxa"/>
            <w:vMerge w:val="restart"/>
          </w:tcPr>
          <w:p w:rsidR="001E648E" w:rsidRPr="001E648E" w:rsidRDefault="001E648E" w:rsidP="001E648E">
            <w:pPr>
              <w:spacing w:before="5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Перелік</w:t>
            </w:r>
            <w:r w:rsidRPr="001E648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заходів</w:t>
            </w:r>
            <w:r w:rsidRPr="001E648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Програми</w:t>
            </w:r>
          </w:p>
        </w:tc>
        <w:tc>
          <w:tcPr>
            <w:tcW w:w="1245" w:type="dxa"/>
            <w:vMerge w:val="restart"/>
          </w:tcPr>
          <w:p w:rsidR="001E648E" w:rsidRPr="001E648E" w:rsidRDefault="001E648E" w:rsidP="001E648E">
            <w:pPr>
              <w:spacing w:before="58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Термін виконання заходу</w:t>
            </w:r>
          </w:p>
        </w:tc>
        <w:tc>
          <w:tcPr>
            <w:tcW w:w="1534" w:type="dxa"/>
            <w:vMerge w:val="restart"/>
          </w:tcPr>
          <w:p w:rsidR="001E648E" w:rsidRPr="001E648E" w:rsidRDefault="001E648E" w:rsidP="001E648E">
            <w:pPr>
              <w:spacing w:before="58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Джерела</w:t>
            </w:r>
          </w:p>
          <w:p w:rsidR="001E648E" w:rsidRPr="001E648E" w:rsidRDefault="001E648E" w:rsidP="001E64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фінансування</w:t>
            </w:r>
          </w:p>
        </w:tc>
        <w:tc>
          <w:tcPr>
            <w:tcW w:w="2449" w:type="dxa"/>
            <w:gridSpan w:val="2"/>
          </w:tcPr>
          <w:p w:rsidR="001E648E" w:rsidRPr="001E648E" w:rsidRDefault="001E648E" w:rsidP="001E648E">
            <w:pPr>
              <w:spacing w:before="5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Фінансове</w:t>
            </w:r>
            <w:r w:rsidRPr="001E648E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забезпечення,</w:t>
            </w: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тис.</w:t>
            </w:r>
            <w:r w:rsidRPr="001E648E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>грн</w:t>
            </w:r>
          </w:p>
        </w:tc>
        <w:tc>
          <w:tcPr>
            <w:tcW w:w="4592" w:type="dxa"/>
            <w:vMerge w:val="restart"/>
          </w:tcPr>
          <w:p w:rsidR="001E648E" w:rsidRPr="001E648E" w:rsidRDefault="001E648E" w:rsidP="001E648E">
            <w:pPr>
              <w:spacing w:before="58"/>
              <w:ind w:right="119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Результат</w:t>
            </w:r>
          </w:p>
        </w:tc>
      </w:tr>
      <w:tr w:rsidR="001E648E" w:rsidRPr="001E648E" w:rsidTr="00C34292">
        <w:trPr>
          <w:trHeight w:val="641"/>
          <w:jc w:val="center"/>
        </w:trPr>
        <w:tc>
          <w:tcPr>
            <w:tcW w:w="394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39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362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01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45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34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53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2024</w:t>
            </w:r>
          </w:p>
        </w:tc>
        <w:tc>
          <w:tcPr>
            <w:tcW w:w="1204" w:type="dxa"/>
          </w:tcPr>
          <w:p w:rsidR="001E648E" w:rsidRPr="001E648E" w:rsidRDefault="001E648E" w:rsidP="001E648E">
            <w:pPr>
              <w:spacing w:before="53"/>
              <w:ind w:right="21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4592" w:type="dxa"/>
            <w:vMerge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E648E" w:rsidRPr="001E648E" w:rsidTr="00C34292">
        <w:trPr>
          <w:trHeight w:val="311"/>
          <w:jc w:val="center"/>
        </w:trPr>
        <w:tc>
          <w:tcPr>
            <w:tcW w:w="394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539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362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2901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534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204" w:type="dxa"/>
          </w:tcPr>
          <w:p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4592" w:type="dxa"/>
          </w:tcPr>
          <w:p w:rsidR="001E648E" w:rsidRPr="001E648E" w:rsidRDefault="001E648E" w:rsidP="001E648E">
            <w:pPr>
              <w:spacing w:before="44"/>
              <w:ind w:right="118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>9</w:t>
            </w:r>
          </w:p>
        </w:tc>
      </w:tr>
      <w:tr w:rsidR="001E648E" w:rsidRPr="001E648E" w:rsidTr="00C34292">
        <w:trPr>
          <w:trHeight w:val="433"/>
          <w:jc w:val="center"/>
        </w:trPr>
        <w:tc>
          <w:tcPr>
            <w:tcW w:w="16016" w:type="dxa"/>
            <w:gridSpan w:val="9"/>
          </w:tcPr>
          <w:p w:rsidR="001E648E" w:rsidRPr="001E648E" w:rsidRDefault="001E648E" w:rsidP="001E648E">
            <w:pPr>
              <w:spacing w:before="101"/>
              <w:ind w:right="47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Соціальний</w:t>
            </w:r>
            <w:r w:rsidRPr="001E648E">
              <w:rPr>
                <w:rFonts w:ascii="Times New Roman" w:eastAsia="Times New Roman" w:hAnsi="Times New Roman" w:cs="Times New Roman"/>
                <w:b/>
                <w:spacing w:val="-14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захист</w:t>
            </w:r>
            <w:r w:rsidRPr="001E648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та</w:t>
            </w: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соціальна</w:t>
            </w:r>
            <w:r w:rsidRPr="001E648E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підтримка</w:t>
            </w:r>
            <w:r w:rsidRPr="001E648E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окремих</w:t>
            </w:r>
            <w:r w:rsidRPr="001E648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категорій</w:t>
            </w: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громадян</w:t>
            </w:r>
          </w:p>
        </w:tc>
      </w:tr>
      <w:tr w:rsidR="001E648E" w:rsidRPr="002305BE" w:rsidTr="00C34292">
        <w:trPr>
          <w:trHeight w:val="1719"/>
          <w:jc w:val="center"/>
        </w:trPr>
        <w:tc>
          <w:tcPr>
            <w:tcW w:w="394" w:type="dxa"/>
          </w:tcPr>
          <w:p w:rsidR="001E648E" w:rsidRPr="001E648E" w:rsidRDefault="001E648E" w:rsidP="001E648E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539" w:type="dxa"/>
          </w:tcPr>
          <w:p w:rsidR="001E648E" w:rsidRPr="001E648E" w:rsidRDefault="001E648E" w:rsidP="001E648E">
            <w:pPr>
              <w:spacing w:before="106"/>
              <w:ind w:left="63" w:right="105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Надання грошових допомог окремим категоріям населення</w:t>
            </w:r>
          </w:p>
        </w:tc>
        <w:tc>
          <w:tcPr>
            <w:tcW w:w="1362" w:type="dxa"/>
          </w:tcPr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1E648E" w:rsidRPr="001E648E" w:rsidRDefault="001E648E" w:rsidP="001E648E">
            <w:pPr>
              <w:spacing w:before="43"/>
              <w:ind w:left="148" w:right="6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1.1. Надання одноразової грошової допомоги мешканцям громади, які опинилися у складних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життєвих обставинах</w:t>
            </w:r>
          </w:p>
          <w:p w:rsidR="001E648E" w:rsidRPr="001E648E" w:rsidRDefault="001E648E" w:rsidP="001E648E">
            <w:pPr>
              <w:ind w:left="148" w:right="6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1E648E" w:rsidRPr="001E648E" w:rsidRDefault="001E648E" w:rsidP="001E648E">
            <w:pPr>
              <w:tabs>
                <w:tab w:val="left" w:pos="570"/>
                <w:tab w:val="left" w:pos="1045"/>
                <w:tab w:val="left" w:pos="1975"/>
                <w:tab w:val="left" w:pos="2043"/>
                <w:tab w:val="left" w:pos="2168"/>
              </w:tabs>
              <w:spacing w:before="1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1E648E" w:rsidRPr="001E648E" w:rsidRDefault="001E648E" w:rsidP="001E648E">
            <w:pPr>
              <w:spacing w:before="43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1E648E" w:rsidRPr="001E648E" w:rsidRDefault="001E648E" w:rsidP="001E648E">
            <w:pPr>
              <w:spacing w:before="1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  <w:vAlign w:val="center"/>
          </w:tcPr>
          <w:p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204" w:type="dxa"/>
            <w:vAlign w:val="center"/>
          </w:tcPr>
          <w:p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4592" w:type="dxa"/>
          </w:tcPr>
          <w:p w:rsidR="001E648E" w:rsidRPr="001E648E" w:rsidRDefault="001E648E" w:rsidP="001E648E">
            <w:pPr>
              <w:tabs>
                <w:tab w:val="left" w:pos="1783"/>
              </w:tabs>
              <w:spacing w:before="43"/>
              <w:ind w:left="116" w:right="5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Поліпшення матеріального стану мешканців громади, які опинилися у складних життєвих обставинах, 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48E" w:rsidRPr="001E648E" w:rsidTr="00C34292">
        <w:trPr>
          <w:trHeight w:val="1771"/>
          <w:jc w:val="center"/>
        </w:trPr>
        <w:tc>
          <w:tcPr>
            <w:tcW w:w="394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1E648E" w:rsidRPr="001E648E" w:rsidRDefault="001E648E" w:rsidP="001E648E">
            <w:pPr>
              <w:spacing w:before="38"/>
              <w:ind w:left="148" w:right="6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1.2. Грошові виплати громадянам, яким виповнилося 80, 85, 90 і більше років,</w:t>
            </w:r>
          </w:p>
          <w:p w:rsidR="001E648E" w:rsidRPr="001E648E" w:rsidRDefault="001E648E" w:rsidP="001E648E">
            <w:pPr>
              <w:spacing w:before="12" w:line="450" w:lineRule="atLeast"/>
              <w:ind w:left="148" w:right="6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придбання</w:t>
            </w:r>
            <w:r w:rsidRPr="001E648E">
              <w:rPr>
                <w:rFonts w:ascii="Times New Roman" w:eastAsia="Times New Roman" w:hAnsi="Times New Roman" w:cs="Times New Roman"/>
                <w:spacing w:val="-1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подарунків, квіткової продукції,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38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1E648E" w:rsidRPr="001E648E" w:rsidRDefault="001E648E" w:rsidP="001E648E">
            <w:pPr>
              <w:spacing w:before="43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1E648E" w:rsidRPr="001E648E" w:rsidRDefault="001E648E" w:rsidP="001E648E">
            <w:pPr>
              <w:spacing w:before="1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84,0</w:t>
            </w:r>
          </w:p>
          <w:p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5,0</w:t>
            </w:r>
          </w:p>
        </w:tc>
        <w:tc>
          <w:tcPr>
            <w:tcW w:w="1204" w:type="dxa"/>
          </w:tcPr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84,0</w:t>
            </w:r>
          </w:p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8,0</w:t>
            </w:r>
          </w:p>
          <w:p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:rsidR="001E648E" w:rsidRPr="001E648E" w:rsidRDefault="001E648E" w:rsidP="001E648E">
            <w:pPr>
              <w:tabs>
                <w:tab w:val="left" w:pos="2100"/>
              </w:tabs>
              <w:spacing w:line="230" w:lineRule="exact"/>
              <w:ind w:left="116" w:right="6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Вшанування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людей,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яким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виповнилося 80, 85, 90 та більше років, до дня народження та Міжнародного дня людей похилого віку 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48E" w:rsidRPr="002305BE" w:rsidTr="00C34292">
        <w:trPr>
          <w:trHeight w:val="1771"/>
          <w:jc w:val="center"/>
        </w:trPr>
        <w:tc>
          <w:tcPr>
            <w:tcW w:w="394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1E648E" w:rsidRPr="001E648E" w:rsidRDefault="001E648E" w:rsidP="001E648E">
            <w:pPr>
              <w:tabs>
                <w:tab w:val="left" w:pos="839"/>
                <w:tab w:val="left" w:pos="2019"/>
              </w:tabs>
              <w:spacing w:before="43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1.3.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Надання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грошової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  <w:r w:rsidRPr="001E648E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учасникам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ліквідації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 аварії на Чорнобильській АЕС 1, 2, 3 категорії</w:t>
            </w:r>
          </w:p>
          <w:p w:rsidR="001E648E" w:rsidRPr="001E648E" w:rsidRDefault="001E648E" w:rsidP="001E648E">
            <w:pPr>
              <w:spacing w:before="115" w:line="360" w:lineRule="auto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1E648E" w:rsidRPr="001E648E" w:rsidRDefault="001E648E" w:rsidP="001E648E">
            <w:pPr>
              <w:spacing w:before="43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1E648E" w:rsidRPr="001E648E" w:rsidRDefault="001E648E" w:rsidP="001E648E">
            <w:pPr>
              <w:spacing w:before="1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  <w:vAlign w:val="center"/>
          </w:tcPr>
          <w:p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12,7</w:t>
            </w:r>
          </w:p>
        </w:tc>
        <w:tc>
          <w:tcPr>
            <w:tcW w:w="1204" w:type="dxa"/>
            <w:vAlign w:val="center"/>
          </w:tcPr>
          <w:p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12,7</w:t>
            </w:r>
          </w:p>
        </w:tc>
        <w:tc>
          <w:tcPr>
            <w:tcW w:w="4592" w:type="dxa"/>
          </w:tcPr>
          <w:p w:rsidR="001E648E" w:rsidRPr="001E648E" w:rsidRDefault="001E648E" w:rsidP="001E648E">
            <w:pPr>
              <w:tabs>
                <w:tab w:val="left" w:pos="1282"/>
                <w:tab w:val="left" w:pos="2433"/>
              </w:tabs>
              <w:spacing w:before="43"/>
              <w:ind w:left="116" w:right="5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Вшанування учасників ліквідації наслідків аварії на Чорнобильській АЕС 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48E" w:rsidRPr="002305BE" w:rsidTr="00C34292">
        <w:trPr>
          <w:trHeight w:val="1771"/>
          <w:jc w:val="center"/>
        </w:trPr>
        <w:tc>
          <w:tcPr>
            <w:tcW w:w="394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1E648E" w:rsidRPr="001E648E" w:rsidRDefault="001E648E" w:rsidP="001E648E">
            <w:pPr>
              <w:tabs>
                <w:tab w:val="left" w:pos="1483"/>
              </w:tabs>
              <w:spacing w:before="43"/>
              <w:ind w:left="148" w:right="4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1.4. Надання грошової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допомоги у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часникам бойових дій в Афганістані та особи, які приймали участь в збройних конфліктах на території інших держав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1E648E" w:rsidRPr="001E648E" w:rsidRDefault="001E648E" w:rsidP="001E648E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1E648E" w:rsidRPr="001E648E" w:rsidRDefault="001E648E" w:rsidP="001E648E">
            <w:pPr>
              <w:spacing w:before="3" w:line="237" w:lineRule="auto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116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29,0</w:t>
            </w:r>
          </w:p>
        </w:tc>
        <w:tc>
          <w:tcPr>
            <w:tcW w:w="1204" w:type="dxa"/>
          </w:tcPr>
          <w:p w:rsidR="001E648E" w:rsidRPr="001E648E" w:rsidRDefault="001E648E" w:rsidP="001E648E">
            <w:pPr>
              <w:spacing w:before="116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29,0</w:t>
            </w:r>
          </w:p>
        </w:tc>
        <w:tc>
          <w:tcPr>
            <w:tcW w:w="4592" w:type="dxa"/>
          </w:tcPr>
          <w:p w:rsidR="001E648E" w:rsidRPr="001E648E" w:rsidRDefault="001E648E" w:rsidP="001E648E">
            <w:pPr>
              <w:tabs>
                <w:tab w:val="left" w:pos="2512"/>
              </w:tabs>
              <w:ind w:left="147" w:right="5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Вшанування учасникам бойових дій в Афганістані та осіб, які приймали участь в збройних конфліктах на території інших держав та членів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сімей загиблих учасників бойових дій в </w:t>
            </w:r>
            <w:proofErr w:type="spellStart"/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Авганістані</w:t>
            </w:r>
            <w:proofErr w:type="spellEnd"/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та осіб, які приймали участь в збройних конфліктах на території інших держав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відповідно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A45DAA" w:rsidRPr="002305BE" w:rsidTr="00C34292">
        <w:trPr>
          <w:trHeight w:val="1771"/>
          <w:jc w:val="center"/>
        </w:trPr>
        <w:tc>
          <w:tcPr>
            <w:tcW w:w="394" w:type="dxa"/>
          </w:tcPr>
          <w:p w:rsidR="00A45DAA" w:rsidRPr="001E648E" w:rsidRDefault="00A45DAA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A45DAA" w:rsidRPr="001E648E" w:rsidRDefault="00A45DAA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A45DAA" w:rsidRPr="001E648E" w:rsidRDefault="00A45DAA" w:rsidP="00A45DAA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A45DAA" w:rsidRPr="001E648E" w:rsidRDefault="00A45DAA" w:rsidP="00A45DAA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A45DAA" w:rsidRPr="001E648E" w:rsidRDefault="00A45DAA" w:rsidP="00A45DAA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A45DAA" w:rsidRDefault="00A45DAA" w:rsidP="001E648E">
            <w:pPr>
              <w:tabs>
                <w:tab w:val="left" w:pos="1483"/>
              </w:tabs>
              <w:spacing w:before="43"/>
              <w:ind w:left="148" w:right="4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1.5 Надання </w:t>
            </w:r>
            <w:r w:rsidR="00E0778A"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матеріальної допомоги сім’ї померлого</w:t>
            </w:r>
            <w:r w:rsidRPr="00F430FB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="00CE33F1" w:rsidRPr="00F430FB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(загиблого) </w:t>
            </w:r>
            <w:r w:rsidRPr="00F430FB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у</w:t>
            </w:r>
            <w:r w:rsidR="00CE33F1"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часника</w:t>
            </w:r>
            <w:r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бо</w:t>
            </w:r>
            <w:r w:rsidR="00CE33F1"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йових дій в Афганістані та осіб</w:t>
            </w:r>
            <w:r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, які приймали участь в збройних конфліктах на території інших держав</w:t>
            </w:r>
          </w:p>
          <w:p w:rsidR="00E0778A" w:rsidRPr="001E648E" w:rsidRDefault="00E0778A" w:rsidP="001E648E">
            <w:pPr>
              <w:tabs>
                <w:tab w:val="left" w:pos="1483"/>
              </w:tabs>
              <w:spacing w:before="43"/>
              <w:ind w:left="148" w:right="4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5" w:type="dxa"/>
          </w:tcPr>
          <w:p w:rsidR="00A45DAA" w:rsidRPr="001E648E" w:rsidRDefault="00E0778A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2024-2025</w:t>
            </w:r>
          </w:p>
        </w:tc>
        <w:tc>
          <w:tcPr>
            <w:tcW w:w="1534" w:type="dxa"/>
          </w:tcPr>
          <w:p w:rsidR="00E0778A" w:rsidRPr="001E648E" w:rsidRDefault="00E0778A" w:rsidP="00E0778A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A45DAA" w:rsidRPr="001E648E" w:rsidRDefault="00E0778A" w:rsidP="00E0778A">
            <w:pPr>
              <w:spacing w:before="43"/>
              <w:ind w:left="141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A45DAA" w:rsidRPr="001E648E" w:rsidRDefault="006572DA" w:rsidP="001E648E">
            <w:pPr>
              <w:spacing w:before="116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20,0</w:t>
            </w:r>
          </w:p>
        </w:tc>
        <w:tc>
          <w:tcPr>
            <w:tcW w:w="1204" w:type="dxa"/>
          </w:tcPr>
          <w:p w:rsidR="00A45DAA" w:rsidRPr="001E648E" w:rsidRDefault="006572DA" w:rsidP="001E648E">
            <w:pPr>
              <w:spacing w:before="116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20,0</w:t>
            </w:r>
          </w:p>
        </w:tc>
        <w:tc>
          <w:tcPr>
            <w:tcW w:w="4592" w:type="dxa"/>
          </w:tcPr>
          <w:p w:rsidR="00A45DAA" w:rsidRPr="001E648E" w:rsidRDefault="001876EA" w:rsidP="001876EA">
            <w:pPr>
              <w:tabs>
                <w:tab w:val="left" w:pos="2512"/>
              </w:tabs>
              <w:ind w:left="147" w:right="5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Матеріальна підтримка</w:t>
            </w:r>
            <w:r w:rsidR="007F54F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членів </w:t>
            </w:r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сімей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померлих</w:t>
            </w:r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="00CE33F1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(загиблих</w:t>
            </w:r>
            <w:r w:rsidR="00CE33F1" w:rsidRPr="00CE33F1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) </w:t>
            </w:r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учасників бойових дій в </w:t>
            </w:r>
            <w:proofErr w:type="spellStart"/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Авганістані</w:t>
            </w:r>
            <w:proofErr w:type="spellEnd"/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та осіб, які приймали участь в збройних конфліктах на території інших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держав</w:t>
            </w:r>
          </w:p>
        </w:tc>
      </w:tr>
      <w:tr w:rsidR="001E648E" w:rsidRPr="002305BE" w:rsidTr="00C34292">
        <w:trPr>
          <w:trHeight w:val="1771"/>
          <w:jc w:val="center"/>
        </w:trPr>
        <w:tc>
          <w:tcPr>
            <w:tcW w:w="394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1E648E" w:rsidRPr="001E648E" w:rsidRDefault="0027171D" w:rsidP="001E648E">
            <w:pPr>
              <w:tabs>
                <w:tab w:val="left" w:pos="1511"/>
                <w:tab w:val="left" w:pos="2730"/>
              </w:tabs>
              <w:spacing w:before="43"/>
              <w:ind w:left="148" w:right="6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1.6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Надання грошової </w:t>
            </w:r>
            <w:r w:rsidR="001E648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допомоги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="001E648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особам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="001E648E" w:rsidRPr="001E648E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>з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інвалідністю до Міжнародного дня осіб з інвалідністю, </w:t>
            </w:r>
          </w:p>
          <w:p w:rsidR="001E648E" w:rsidRPr="001E648E" w:rsidRDefault="001E648E" w:rsidP="001E648E">
            <w:pPr>
              <w:tabs>
                <w:tab w:val="left" w:pos="1511"/>
                <w:tab w:val="left" w:pos="2730"/>
              </w:tabs>
              <w:spacing w:before="43"/>
              <w:ind w:left="148" w:right="6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придбання</w:t>
            </w:r>
            <w:r w:rsidRPr="001E648E">
              <w:rPr>
                <w:rFonts w:ascii="Times New Roman" w:eastAsia="Times New Roman" w:hAnsi="Times New Roman" w:cs="Times New Roman"/>
                <w:spacing w:val="-13"/>
                <w:sz w:val="20"/>
                <w:lang w:val="uk-UA"/>
              </w:rPr>
              <w:t xml:space="preserve"> </w:t>
            </w:r>
            <w:r w:rsidR="00EE3C11">
              <w:rPr>
                <w:rFonts w:ascii="Times New Roman" w:eastAsia="Times New Roman" w:hAnsi="Times New Roman" w:cs="Times New Roman"/>
                <w:sz w:val="20"/>
                <w:lang w:val="uk-UA"/>
              </w:rPr>
              <w:t>подарунків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1E648E" w:rsidRPr="001E648E" w:rsidRDefault="001E648E" w:rsidP="001E648E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1E648E" w:rsidRPr="001E648E" w:rsidRDefault="001E648E" w:rsidP="001E648E">
            <w:pPr>
              <w:spacing w:before="3" w:line="237" w:lineRule="auto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105,0</w:t>
            </w:r>
          </w:p>
          <w:p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11,0</w:t>
            </w:r>
          </w:p>
        </w:tc>
        <w:tc>
          <w:tcPr>
            <w:tcW w:w="1204" w:type="dxa"/>
          </w:tcPr>
          <w:p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105,0</w:t>
            </w:r>
          </w:p>
          <w:p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15,0</w:t>
            </w:r>
          </w:p>
          <w:p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:rsidR="001E648E" w:rsidRPr="001E648E" w:rsidRDefault="001E648E" w:rsidP="001E648E">
            <w:pPr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Поліпшення матеріального стану осіб з інвалідністю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7F1033" w:rsidRPr="001E648E" w:rsidTr="00C34292">
        <w:trPr>
          <w:trHeight w:val="1771"/>
          <w:jc w:val="center"/>
        </w:trPr>
        <w:tc>
          <w:tcPr>
            <w:tcW w:w="394" w:type="dxa"/>
          </w:tcPr>
          <w:p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4A5486" w:rsidRPr="004A5486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4A548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4A5486" w:rsidRPr="004A5486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4A548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бухгалтерського обліку та звітності</w:t>
            </w:r>
          </w:p>
          <w:p w:rsidR="007F1033" w:rsidRPr="001E648E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4A548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7F1033" w:rsidRPr="001E648E" w:rsidRDefault="007F1033" w:rsidP="00C34292">
            <w:pPr>
              <w:tabs>
                <w:tab w:val="left" w:pos="721"/>
                <w:tab w:val="left" w:pos="1326"/>
                <w:tab w:val="left" w:pos="1366"/>
                <w:tab w:val="left" w:pos="1781"/>
                <w:tab w:val="left" w:pos="1897"/>
                <w:tab w:val="left" w:pos="2323"/>
                <w:tab w:val="left" w:pos="2568"/>
              </w:tabs>
              <w:spacing w:before="38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1.7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.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Надання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щоквартальної грошової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 особам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інвалідністю 1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>,</w:t>
            </w:r>
            <w:r w:rsidRPr="001E648E">
              <w:rPr>
                <w:rFonts w:ascii="Times New Roman" w:eastAsia="Times New Roman" w:hAnsi="Times New Roman" w:cs="Times New Roman"/>
                <w:spacing w:val="48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 та 3 груп</w:t>
            </w:r>
            <w:r w:rsidRPr="001E648E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</w:t>
            </w:r>
            <w:r w:rsidRPr="001E648E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зору </w:t>
            </w:r>
          </w:p>
        </w:tc>
        <w:tc>
          <w:tcPr>
            <w:tcW w:w="1245" w:type="dxa"/>
          </w:tcPr>
          <w:p w:rsidR="007F1033" w:rsidRPr="001E648E" w:rsidRDefault="007F1033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7F1033" w:rsidRPr="001E648E" w:rsidRDefault="007F1033" w:rsidP="00C34292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7F1033" w:rsidRPr="001E648E" w:rsidRDefault="007F1033" w:rsidP="00C3429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7F1033" w:rsidRPr="001E648E" w:rsidRDefault="007F1033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52,0</w:t>
            </w: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04" w:type="dxa"/>
          </w:tcPr>
          <w:p w:rsidR="007F1033" w:rsidRPr="001E648E" w:rsidRDefault="007F1033" w:rsidP="00C34292">
            <w:pPr>
              <w:spacing w:before="38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52,0</w:t>
            </w: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spacing w:before="116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:rsidR="007F1033" w:rsidRPr="001E648E" w:rsidRDefault="007F1033" w:rsidP="00C34292">
            <w:pPr>
              <w:tabs>
                <w:tab w:val="left" w:pos="558"/>
              </w:tabs>
              <w:spacing w:before="5" w:line="235" w:lineRule="auto"/>
              <w:ind w:left="147" w:right="6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Поліпшення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матеріального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стану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сімей осіб з інвалідністю 1, 2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та 3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груп </w:t>
            </w:r>
            <w:r w:rsidRPr="001E648E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>по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зору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відповідно</w:t>
            </w:r>
            <w:r w:rsidRPr="001E648E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7F1033" w:rsidRPr="001E648E" w:rsidTr="00C34292">
        <w:trPr>
          <w:trHeight w:val="1771"/>
          <w:jc w:val="center"/>
        </w:trPr>
        <w:tc>
          <w:tcPr>
            <w:tcW w:w="394" w:type="dxa"/>
          </w:tcPr>
          <w:p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:rsidR="004A5486" w:rsidRPr="001E648E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:rsidR="004A5486" w:rsidRPr="001E648E" w:rsidRDefault="004A5486" w:rsidP="004A5486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:rsidR="007F1033" w:rsidRPr="001E648E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:rsidR="007F1033" w:rsidRPr="001E648E" w:rsidRDefault="004A5486" w:rsidP="00C34292">
            <w:pPr>
              <w:tabs>
                <w:tab w:val="left" w:pos="721"/>
                <w:tab w:val="left" w:pos="1326"/>
                <w:tab w:val="left" w:pos="1366"/>
                <w:tab w:val="left" w:pos="1781"/>
                <w:tab w:val="left" w:pos="1897"/>
                <w:tab w:val="left" w:pos="2323"/>
                <w:tab w:val="left" w:pos="2568"/>
              </w:tabs>
              <w:spacing w:before="38"/>
              <w:ind w:left="148" w:right="68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1.8</w:t>
            </w:r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. Придбання подарунків дітям-сиротам, дітям позбавлених батьківського піклування, дітям, які мають статус внутрішньо переміщеної особи, дітям загиблих, зниклих безвісти, </w:t>
            </w:r>
            <w:proofErr w:type="spellStart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потрапивших</w:t>
            </w:r>
            <w:proofErr w:type="spellEnd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в полон військовослужбовців які брали участь у відсічі і стримуванні збройної агресії Російської Федерації проти України, дітям військовослужбовців, які беруть </w:t>
            </w:r>
            <w:proofErr w:type="spellStart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беспосередньо</w:t>
            </w:r>
            <w:proofErr w:type="spellEnd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  <w:tc>
          <w:tcPr>
            <w:tcW w:w="1245" w:type="dxa"/>
          </w:tcPr>
          <w:p w:rsidR="007F1033" w:rsidRPr="001E648E" w:rsidRDefault="007F1033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7F1033" w:rsidRPr="001E648E" w:rsidRDefault="007F1033" w:rsidP="00C34292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7F1033" w:rsidRPr="001E648E" w:rsidRDefault="007F1033" w:rsidP="00C3429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7F1033" w:rsidRPr="001E648E" w:rsidRDefault="006572DA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46</w:t>
            </w:r>
            <w:r w:rsidR="007F1033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,0</w:t>
            </w: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04" w:type="dxa"/>
          </w:tcPr>
          <w:p w:rsidR="007F1033" w:rsidRPr="001E648E" w:rsidRDefault="006572DA" w:rsidP="00C34292">
            <w:pPr>
              <w:spacing w:before="38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50</w:t>
            </w:r>
            <w:r w:rsidR="007F1033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,0</w:t>
            </w: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1033" w:rsidRPr="001E648E" w:rsidRDefault="007F1033" w:rsidP="00C34292">
            <w:pPr>
              <w:spacing w:before="116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:rsidR="007F1033" w:rsidRPr="001E648E" w:rsidRDefault="007F1033" w:rsidP="00C34292">
            <w:pPr>
              <w:tabs>
                <w:tab w:val="left" w:pos="558"/>
              </w:tabs>
              <w:spacing w:before="5" w:line="235" w:lineRule="auto"/>
              <w:ind w:left="147" w:right="65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Придбання подарунків з нагоди організації Дня захисту дітей, Дня усиновлення, Новорічних та різдвяних свят</w:t>
            </w:r>
          </w:p>
        </w:tc>
      </w:tr>
      <w:tr w:rsidR="004A5486" w:rsidRPr="002305BE" w:rsidTr="00C34292">
        <w:trPr>
          <w:trHeight w:val="1771"/>
          <w:jc w:val="center"/>
        </w:trPr>
        <w:tc>
          <w:tcPr>
            <w:tcW w:w="394" w:type="dxa"/>
          </w:tcPr>
          <w:p w:rsidR="004A5486" w:rsidRPr="001E648E" w:rsidRDefault="004A5486" w:rsidP="00C34292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539" w:type="dxa"/>
          </w:tcPr>
          <w:p w:rsidR="004A5486" w:rsidRPr="001E648E" w:rsidRDefault="004A5486" w:rsidP="00C34292">
            <w:pPr>
              <w:spacing w:before="50" w:line="237" w:lineRule="auto"/>
              <w:ind w:left="63" w:right="105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Надання соціальних гарантій</w:t>
            </w:r>
          </w:p>
          <w:p w:rsidR="004A5486" w:rsidRPr="001E648E" w:rsidRDefault="004A5486" w:rsidP="00C34292">
            <w:pPr>
              <w:tabs>
                <w:tab w:val="left" w:pos="1203"/>
              </w:tabs>
              <w:spacing w:before="2"/>
              <w:ind w:left="63" w:right="43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фізичним особам,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які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надають соціальні послуги</w:t>
            </w:r>
          </w:p>
        </w:tc>
        <w:tc>
          <w:tcPr>
            <w:tcW w:w="1362" w:type="dxa"/>
          </w:tcPr>
          <w:p w:rsidR="004A5486" w:rsidRPr="001E648E" w:rsidRDefault="004A5486" w:rsidP="00C34292">
            <w:pPr>
              <w:spacing w:before="45" w:line="237" w:lineRule="auto"/>
              <w:ind w:left="8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</w:tc>
        <w:tc>
          <w:tcPr>
            <w:tcW w:w="2901" w:type="dxa"/>
          </w:tcPr>
          <w:p w:rsidR="004A5486" w:rsidRPr="001E648E" w:rsidRDefault="004A5486" w:rsidP="00C34292">
            <w:pPr>
              <w:tabs>
                <w:tab w:val="left" w:pos="1869"/>
              </w:tabs>
              <w:spacing w:before="43"/>
              <w:ind w:left="148" w:right="6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2.1. Виплата компенсації фізичним особам, які надають соціальні послуги громадянам похилого віку, особам з інвалідністю, хворим, які не здатні до самообслуговування і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потребують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сторонньої допомоги</w:t>
            </w:r>
          </w:p>
        </w:tc>
        <w:tc>
          <w:tcPr>
            <w:tcW w:w="1245" w:type="dxa"/>
          </w:tcPr>
          <w:p w:rsidR="004A5486" w:rsidRPr="001E648E" w:rsidRDefault="004A5486" w:rsidP="00C34292">
            <w:pPr>
              <w:spacing w:before="43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:rsidR="004A5486" w:rsidRPr="001E648E" w:rsidRDefault="004A5486" w:rsidP="00C34292">
            <w:pPr>
              <w:spacing w:before="43"/>
              <w:ind w:left="119" w:right="-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:rsidR="004A5486" w:rsidRPr="001E648E" w:rsidRDefault="004A5486" w:rsidP="00C34292">
            <w:pPr>
              <w:spacing w:before="1"/>
              <w:ind w:left="119" w:right="-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:rsidR="004A5486" w:rsidRPr="001E648E" w:rsidRDefault="004A5486" w:rsidP="00C34292">
            <w:pPr>
              <w:spacing w:before="43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245,7</w:t>
            </w:r>
          </w:p>
        </w:tc>
        <w:tc>
          <w:tcPr>
            <w:tcW w:w="1204" w:type="dxa"/>
          </w:tcPr>
          <w:p w:rsidR="004A5486" w:rsidRPr="001E648E" w:rsidRDefault="004A5486" w:rsidP="00C34292">
            <w:pPr>
              <w:spacing w:before="43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245,7</w:t>
            </w:r>
          </w:p>
        </w:tc>
        <w:tc>
          <w:tcPr>
            <w:tcW w:w="4592" w:type="dxa"/>
          </w:tcPr>
          <w:p w:rsidR="004A5486" w:rsidRPr="001E648E" w:rsidRDefault="004A5486" w:rsidP="00C34292">
            <w:pPr>
              <w:tabs>
                <w:tab w:val="left" w:pos="990"/>
                <w:tab w:val="left" w:pos="1057"/>
                <w:tab w:val="left" w:pos="2093"/>
                <w:tab w:val="left" w:pos="2137"/>
                <w:tab w:val="left" w:pos="2291"/>
                <w:tab w:val="left" w:pos="2564"/>
                <w:tab w:val="left" w:pos="3005"/>
                <w:tab w:val="left" w:pos="3178"/>
              </w:tabs>
              <w:spacing w:before="43"/>
              <w:ind w:left="102" w:right="6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Забезпечення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постанови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Кабінету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Міністрів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України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від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23 вересня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2020 року   № 859 “Деякі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питання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призначення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>і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виплати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компенсації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фізичним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особам,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 надають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соціальні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послуги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>з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догляду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непрофесійній основі”</w:t>
            </w:r>
          </w:p>
        </w:tc>
      </w:tr>
    </w:tbl>
    <w:p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1E648E" w:rsidRPr="001E648E" w:rsidSect="003B5EB0">
          <w:headerReference w:type="default" r:id="rId9"/>
          <w:pgSz w:w="16840" w:h="11910" w:orient="landscape"/>
          <w:pgMar w:top="480" w:right="240" w:bottom="280" w:left="400" w:header="567" w:footer="567" w:gutter="0"/>
          <w:cols w:space="720"/>
          <w:docGrid w:linePitch="299"/>
        </w:sectPr>
      </w:pPr>
    </w:p>
    <w:p w:rsidR="001E648E" w:rsidRPr="00E90837" w:rsidRDefault="001E648E">
      <w:pPr>
        <w:rPr>
          <w:lang w:val="uk-UA"/>
        </w:rPr>
      </w:pPr>
    </w:p>
    <w:sectPr w:rsidR="001E648E" w:rsidRPr="00E90837" w:rsidSect="001E648E">
      <w:pgSz w:w="16840" w:h="11910" w:orient="landscape"/>
      <w:pgMar w:top="1701" w:right="567" w:bottom="567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E6" w:rsidRDefault="001929E6">
      <w:pPr>
        <w:spacing w:after="0" w:line="240" w:lineRule="auto"/>
      </w:pPr>
      <w:r>
        <w:separator/>
      </w:r>
    </w:p>
  </w:endnote>
  <w:endnote w:type="continuationSeparator" w:id="0">
    <w:p w:rsidR="001929E6" w:rsidRDefault="0019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E6" w:rsidRDefault="001929E6">
      <w:pPr>
        <w:spacing w:after="0" w:line="240" w:lineRule="auto"/>
      </w:pPr>
      <w:r>
        <w:separator/>
      </w:r>
    </w:p>
  </w:footnote>
  <w:footnote w:type="continuationSeparator" w:id="0">
    <w:p w:rsidR="001929E6" w:rsidRDefault="0019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83607"/>
      <w:docPartObj>
        <w:docPartGallery w:val="Page Numbers (Top of Page)"/>
        <w:docPartUnique/>
      </w:docPartObj>
    </w:sdtPr>
    <w:sdtEndPr/>
    <w:sdtContent>
      <w:p w:rsidR="001E648E" w:rsidRDefault="001E6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FB">
          <w:rPr>
            <w:noProof/>
          </w:rPr>
          <w:t>5</w:t>
        </w:r>
        <w:r>
          <w:fldChar w:fldCharType="end"/>
        </w:r>
      </w:p>
    </w:sdtContent>
  </w:sdt>
  <w:p w:rsidR="001E648E" w:rsidRDefault="001E648E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ABC"/>
    <w:multiLevelType w:val="hybridMultilevel"/>
    <w:tmpl w:val="FDC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02E8"/>
    <w:multiLevelType w:val="hybridMultilevel"/>
    <w:tmpl w:val="9D984AE2"/>
    <w:lvl w:ilvl="0" w:tplc="04DA65B8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390352"/>
    <w:multiLevelType w:val="multilevel"/>
    <w:tmpl w:val="51EC1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C37AA8"/>
    <w:multiLevelType w:val="hybridMultilevel"/>
    <w:tmpl w:val="F0F81BD0"/>
    <w:lvl w:ilvl="0" w:tplc="3C38B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8"/>
    <w:rsid w:val="000D47B7"/>
    <w:rsid w:val="001449EB"/>
    <w:rsid w:val="00145E56"/>
    <w:rsid w:val="001876EA"/>
    <w:rsid w:val="001929E6"/>
    <w:rsid w:val="001A67FB"/>
    <w:rsid w:val="001B7F35"/>
    <w:rsid w:val="001E648E"/>
    <w:rsid w:val="0022715A"/>
    <w:rsid w:val="002305BE"/>
    <w:rsid w:val="0027171D"/>
    <w:rsid w:val="00272905"/>
    <w:rsid w:val="0028283A"/>
    <w:rsid w:val="002C1618"/>
    <w:rsid w:val="0031062C"/>
    <w:rsid w:val="00321F0A"/>
    <w:rsid w:val="00396303"/>
    <w:rsid w:val="003B3554"/>
    <w:rsid w:val="00407D6C"/>
    <w:rsid w:val="00410438"/>
    <w:rsid w:val="00431A8C"/>
    <w:rsid w:val="00475FD3"/>
    <w:rsid w:val="004A5486"/>
    <w:rsid w:val="00526FAB"/>
    <w:rsid w:val="00532A8B"/>
    <w:rsid w:val="00595BCA"/>
    <w:rsid w:val="005C2DD5"/>
    <w:rsid w:val="00620FB3"/>
    <w:rsid w:val="006572DA"/>
    <w:rsid w:val="00677E7A"/>
    <w:rsid w:val="006A04CA"/>
    <w:rsid w:val="00714A1B"/>
    <w:rsid w:val="00724455"/>
    <w:rsid w:val="00757FE4"/>
    <w:rsid w:val="007855E2"/>
    <w:rsid w:val="007A146D"/>
    <w:rsid w:val="007C4DAB"/>
    <w:rsid w:val="007E5092"/>
    <w:rsid w:val="007F1033"/>
    <w:rsid w:val="007F54FE"/>
    <w:rsid w:val="007F6782"/>
    <w:rsid w:val="00854B58"/>
    <w:rsid w:val="00864F77"/>
    <w:rsid w:val="008D3A7E"/>
    <w:rsid w:val="008E0319"/>
    <w:rsid w:val="008E2820"/>
    <w:rsid w:val="00953F78"/>
    <w:rsid w:val="00956416"/>
    <w:rsid w:val="00A36503"/>
    <w:rsid w:val="00A4229C"/>
    <w:rsid w:val="00A45DAA"/>
    <w:rsid w:val="00A85DBC"/>
    <w:rsid w:val="00A92A1B"/>
    <w:rsid w:val="00AB5E73"/>
    <w:rsid w:val="00AF6036"/>
    <w:rsid w:val="00B312DC"/>
    <w:rsid w:val="00B50AFB"/>
    <w:rsid w:val="00B74385"/>
    <w:rsid w:val="00B82652"/>
    <w:rsid w:val="00BC7C6C"/>
    <w:rsid w:val="00C232B1"/>
    <w:rsid w:val="00C47949"/>
    <w:rsid w:val="00CB14E1"/>
    <w:rsid w:val="00CD40F1"/>
    <w:rsid w:val="00CE33F1"/>
    <w:rsid w:val="00D334CD"/>
    <w:rsid w:val="00DB4B8E"/>
    <w:rsid w:val="00DE4E48"/>
    <w:rsid w:val="00DE7A2C"/>
    <w:rsid w:val="00E0778A"/>
    <w:rsid w:val="00E17988"/>
    <w:rsid w:val="00E27FD2"/>
    <w:rsid w:val="00E37954"/>
    <w:rsid w:val="00E748BC"/>
    <w:rsid w:val="00E90837"/>
    <w:rsid w:val="00ED2617"/>
    <w:rsid w:val="00EE3C11"/>
    <w:rsid w:val="00F16609"/>
    <w:rsid w:val="00F252B1"/>
    <w:rsid w:val="00F430FB"/>
    <w:rsid w:val="00F66AEF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48E"/>
  </w:style>
  <w:style w:type="paragraph" w:styleId="a6">
    <w:name w:val="Body Text"/>
    <w:basedOn w:val="a"/>
    <w:link w:val="a7"/>
    <w:uiPriority w:val="99"/>
    <w:semiHidden/>
    <w:unhideWhenUsed/>
    <w:rsid w:val="001E64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48E"/>
  </w:style>
  <w:style w:type="paragraph" w:styleId="a6">
    <w:name w:val="Body Text"/>
    <w:basedOn w:val="a"/>
    <w:link w:val="a7"/>
    <w:uiPriority w:val="99"/>
    <w:semiHidden/>
    <w:unhideWhenUsed/>
    <w:rsid w:val="001E64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9</cp:revision>
  <dcterms:created xsi:type="dcterms:W3CDTF">2024-04-01T11:05:00Z</dcterms:created>
  <dcterms:modified xsi:type="dcterms:W3CDTF">2024-04-02T12:57:00Z</dcterms:modified>
</cp:coreProperties>
</file>